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2C2" w:rsidRDefault="00634C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02C2" w:rsidRDefault="000F02C2">
      <w:pPr>
        <w:spacing w:line="420" w:lineRule="exact"/>
        <w:jc w:val="center"/>
        <w:rPr>
          <w:rFonts w:ascii="Arial" w:hAnsi="Arial" w:cs="Arial"/>
          <w:b/>
          <w:snapToGrid/>
          <w:sz w:val="32"/>
          <w:szCs w:val="32"/>
        </w:rPr>
      </w:pPr>
    </w:p>
    <w:p w:rsidR="000F02C2" w:rsidRDefault="00634C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02C2" w:rsidRDefault="000F02C2">
      <w:pPr>
        <w:spacing w:line="420" w:lineRule="exact"/>
        <w:jc w:val="both"/>
        <w:rPr>
          <w:rFonts w:ascii="Arial" w:hAnsi="Arial" w:cs="Arial"/>
          <w:snapToGrid/>
        </w:rPr>
      </w:pPr>
    </w:p>
    <w:p w:rsidR="000F02C2" w:rsidRDefault="00634C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02C2" w:rsidRDefault="00634C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02C2" w:rsidRDefault="000F02C2">
      <w:pPr>
        <w:spacing w:line="420" w:lineRule="exact"/>
        <w:jc w:val="both"/>
        <w:rPr>
          <w:rFonts w:ascii="Arial" w:hAnsi="Arial" w:cs="Arial"/>
          <w:i/>
          <w:snapToGrid/>
          <w:color w:val="0099FF"/>
          <w:sz w:val="18"/>
          <w:szCs w:val="18"/>
        </w:rPr>
      </w:pPr>
    </w:p>
    <w:p w:rsidR="000F02C2" w:rsidRDefault="00634C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02C2" w:rsidRDefault="000F02C2">
      <w:pPr>
        <w:pStyle w:val="a8"/>
        <w:spacing w:before="0" w:after="0" w:line="240" w:lineRule="auto"/>
        <w:jc w:val="left"/>
        <w:rPr>
          <w:rFonts w:ascii="Arial" w:hAnsi="Arial" w:cs="Arial"/>
          <w:bCs w:val="0"/>
          <w:sz w:val="21"/>
          <w:szCs w:val="21"/>
        </w:rPr>
      </w:pPr>
    </w:p>
    <w:p w:rsidR="000F02C2" w:rsidRDefault="00634C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fonts-tweak-tool 0.4.5</w:t>
      </w:r>
    </w:p>
    <w:p w:rsidR="000F02C2" w:rsidRDefault="00634C6C">
      <w:pPr>
        <w:rPr>
          <w:rFonts w:ascii="Arial" w:hAnsi="Arial" w:cs="Arial"/>
          <w:b/>
        </w:rPr>
      </w:pPr>
      <w:r>
        <w:rPr>
          <w:rFonts w:ascii="Arial" w:hAnsi="Arial" w:cs="Arial"/>
          <w:b/>
        </w:rPr>
        <w:t xml:space="preserve">Copyright notice: </w:t>
      </w:r>
    </w:p>
    <w:p w:rsidR="000F02C2" w:rsidRDefault="00634C6C">
      <w:pPr>
        <w:pStyle w:val="Default"/>
        <w:rPr>
          <w:rFonts w:ascii="宋体" w:hAnsi="宋体" w:cs="宋体"/>
          <w:sz w:val="22"/>
          <w:szCs w:val="22"/>
        </w:rPr>
      </w:pPr>
      <w:r>
        <w:rPr>
          <w:rFonts w:ascii="宋体" w:hAnsi="宋体"/>
          <w:sz w:val="22"/>
        </w:rPr>
        <w:t>Copyright (C) 2012-2013 Red Hat, Inc.</w:t>
      </w:r>
      <w:r>
        <w:rPr>
          <w:rFonts w:ascii="宋体" w:hAnsi="宋体"/>
          <w:sz w:val="22"/>
        </w:rPr>
        <w:br/>
        <w:t xml:space="preserve">Copyright </w:t>
      </w:r>
      <w:r>
        <w:rPr>
          <w:rFonts w:ascii="宋体" w:hAnsi="宋体"/>
          <w:sz w:val="22"/>
        </w:rPr>
        <w:t>(C) 2012-2018 Red Hat, Inc.</w:t>
      </w:r>
      <w:r>
        <w:rPr>
          <w:rFonts w:ascii="宋体" w:hAnsi="宋体"/>
          <w:sz w:val="22"/>
        </w:rPr>
        <w:br/>
        <w:t>Copyright 2014</w:t>
      </w:r>
      <w:r w:rsidR="006A1EA4">
        <w:rPr>
          <w:rFonts w:ascii="宋体" w:hAnsi="宋体"/>
          <w:sz w:val="22"/>
        </w:rPr>
        <w:t xml:space="preserve"> Ryan </w:t>
      </w:r>
      <w:proofErr w:type="spellStart"/>
      <w:r w:rsidR="006A1EA4">
        <w:rPr>
          <w:rFonts w:ascii="宋体" w:hAnsi="宋体"/>
          <w:sz w:val="22"/>
        </w:rPr>
        <w:t>Lerch</w:t>
      </w:r>
      <w:proofErr w:type="spellEnd"/>
      <w:r w:rsidR="006A1EA4">
        <w:rPr>
          <w:rFonts w:ascii="宋体" w:hAnsi="宋体"/>
          <w:sz w:val="22"/>
        </w:rPr>
        <w:t xml:space="preserve"> &lt;rlerch@redhat.com&gt;</w:t>
      </w:r>
      <w:bookmarkStart w:id="0" w:name="_GoBack"/>
      <w:bookmarkEnd w:id="0"/>
      <w:r>
        <w:rPr>
          <w:rFonts w:ascii="宋体" w:hAnsi="宋体"/>
          <w:sz w:val="22"/>
        </w:rPr>
        <w:br/>
        <w:t>Copyright (C) 2012-2014 Red Hat, Inc.</w:t>
      </w:r>
      <w:r>
        <w:rPr>
          <w:rFonts w:ascii="宋体" w:hAnsi="宋体"/>
          <w:sz w:val="22"/>
        </w:rPr>
        <w:br/>
        <w:t>Copyright (C) 2007 Free Software</w:t>
      </w:r>
      <w:r>
        <w:rPr>
          <w:rFonts w:ascii="宋体" w:hAnsi="宋体"/>
          <w:sz w:val="22"/>
        </w:rPr>
        <w:t xml:space="preserve"> Foundation, Inc. &lt;http:fsf.org/&gt;</w:t>
      </w:r>
      <w:r>
        <w:rPr>
          <w:rFonts w:ascii="宋体" w:hAnsi="宋体"/>
          <w:sz w:val="22"/>
        </w:rPr>
        <w:br/>
        <w:t>Copyright (C) 2012-2015 Red Hat, Inc.</w:t>
      </w:r>
      <w:r>
        <w:rPr>
          <w:rFonts w:ascii="宋体" w:hAnsi="宋体"/>
          <w:sz w:val="22"/>
        </w:rPr>
        <w:br/>
      </w:r>
    </w:p>
    <w:p w:rsidR="000F02C2" w:rsidRDefault="00634C6C">
      <w:pPr>
        <w:pStyle w:val="Default"/>
        <w:rPr>
          <w:rFonts w:ascii="宋体" w:hAnsi="宋体" w:cs="宋体"/>
          <w:sz w:val="22"/>
          <w:szCs w:val="22"/>
        </w:rPr>
      </w:pPr>
      <w:r>
        <w:rPr>
          <w:b/>
        </w:rPr>
        <w:t xml:space="preserve">License: </w:t>
      </w:r>
      <w:r>
        <w:rPr>
          <w:sz w:val="21"/>
        </w:rPr>
        <w:t>LGPLv3+</w:t>
      </w:r>
    </w:p>
    <w:p w:rsidR="000F02C2" w:rsidRDefault="00634C6C">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GNU Lesser General Public License incorporates the terms and conditions of version 3 of the </w:t>
      </w:r>
      <w:r>
        <w:rPr>
          <w:rFonts w:ascii="Times New Roman" w:hAnsi="Times New Roman"/>
          <w:sz w:val="21"/>
        </w:rPr>
        <w:lastRenderedPageBreak/>
        <w:t>GNU General Public License, supplemented by the additional pe</w:t>
      </w:r>
      <w:r>
        <w:rPr>
          <w:rFonts w:ascii="Times New Roman" w:hAnsi="Times New Roman"/>
          <w:sz w:val="21"/>
        </w:rPr>
        <w:t>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w:t>
      </w:r>
      <w:r>
        <w:rPr>
          <w:rFonts w:ascii="Times New Roman" w:hAnsi="Times New Roman"/>
          <w:sz w:val="21"/>
        </w:rPr>
        <w:t>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w:t>
      </w:r>
      <w:r>
        <w:rPr>
          <w:rFonts w:ascii="Times New Roman" w:hAnsi="Times New Roman"/>
          <w:sz w:val="21"/>
        </w:rPr>
        <w:t xml:space="preserve">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w:t>
      </w:r>
      <w:r>
        <w:rPr>
          <w:rFonts w:ascii="Times New Roman" w:hAnsi="Times New Roman"/>
          <w:sz w:val="21"/>
        </w:rPr>
        <w:t>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w:t>
      </w:r>
      <w:r>
        <w:rPr>
          <w:rFonts w:ascii="Times New Roman" w:hAnsi="Times New Roman"/>
          <w:sz w:val="21"/>
        </w:rPr>
        <w:t>e Application, and not on the Linked Version.</w:t>
      </w:r>
      <w:r>
        <w:rPr>
          <w:rFonts w:ascii="Times New Roman" w:hAnsi="Times New Roman"/>
          <w:sz w:val="21"/>
        </w:rPr>
        <w:br/>
      </w:r>
      <w:r>
        <w:rPr>
          <w:rFonts w:ascii="Times New Roman" w:hAnsi="Times New Roman"/>
          <w:sz w:val="21"/>
        </w:rPr>
        <w:br/>
        <w:t xml:space="preserve">The "Corresponding Application Code" for a Combined Work means the object code and/or source code for the Application, including any data and utility programs needed for reproducing the Combined Work from the </w:t>
      </w:r>
      <w:r>
        <w:rPr>
          <w:rFonts w:ascii="Times New Roman" w:hAnsi="Times New Roman"/>
          <w:sz w:val="21"/>
        </w:rPr>
        <w:t>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w:t>
      </w:r>
      <w:r>
        <w:rPr>
          <w:rFonts w:ascii="Times New Roman" w:hAnsi="Times New Roman"/>
          <w:sz w:val="21"/>
        </w:rPr>
        <w:t>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w:t>
      </w:r>
      <w:r>
        <w:rPr>
          <w:rFonts w:ascii="Times New Roman" w:hAnsi="Times New Roman"/>
          <w:sz w:val="21"/>
        </w:rPr>
        <w:t>opy of the modified version:</w:t>
      </w:r>
      <w:r>
        <w:rPr>
          <w:rFonts w:ascii="Times New Roman" w:hAnsi="Times New Roman"/>
          <w:sz w:val="21"/>
        </w:rPr>
        <w:br/>
        <w:t xml:space="preserve">a) under this License, provided that you make a good faith effort to ensure that, in the event an Application does not supply the function or data, the facility still operates, and performs whatever part of its purpose remains </w:t>
      </w:r>
      <w:r>
        <w:rPr>
          <w:rFonts w:ascii="Times New Roman" w:hAnsi="Times New Roman"/>
          <w:sz w:val="21"/>
        </w:rPr>
        <w:t>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w:t>
      </w:r>
      <w:r>
        <w:rPr>
          <w:rFonts w:ascii="Times New Roman" w:hAnsi="Times New Roman"/>
          <w:sz w:val="21"/>
        </w:rPr>
        <w:t xml:space="preserve">ader file that is part of the Library. You may convey such object code under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w:t>
      </w:r>
      <w:r>
        <w:rPr>
          <w:rFonts w:ascii="Times New Roman" w:hAnsi="Times New Roman"/>
          <w:sz w:val="21"/>
        </w:rPr>
        <w:t>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r>
      <w:r>
        <w:rPr>
          <w:rFonts w:ascii="Times New Roman" w:hAnsi="Times New Roman"/>
          <w:sz w:val="21"/>
        </w:rPr>
        <w:lastRenderedPageBreak/>
        <w:t xml:space="preserve">b) Accompany the object code </w:t>
      </w:r>
      <w:r>
        <w:rPr>
          <w:rFonts w:ascii="Times New Roman" w:hAnsi="Times New Roman"/>
          <w:sz w:val="21"/>
        </w:rPr>
        <w:t>with a copy of the GNU GPL and this license document.</w:t>
      </w:r>
      <w:r>
        <w:rPr>
          <w:rFonts w:ascii="Times New Roman" w:hAnsi="Times New Roman"/>
          <w:sz w:val="21"/>
        </w:rPr>
        <w:br/>
        <w:t>4. Combined Works.</w:t>
      </w:r>
      <w:r>
        <w:rPr>
          <w:rFonts w:ascii="Times New Roman" w:hAnsi="Times New Roman"/>
          <w:sz w:val="21"/>
        </w:rPr>
        <w:br/>
        <w:t xml:space="preserve">You may convey a Combined Work under terms of your choice that, taken together, effectively do not restrict modification of the portions of the Library contained in the Combined Work </w:t>
      </w:r>
      <w:r>
        <w:rPr>
          <w:rFonts w:ascii="Times New Roman" w:hAnsi="Times New Roman"/>
          <w:sz w:val="21"/>
        </w:rPr>
        <w:t>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w:t>
      </w:r>
      <w:r>
        <w:rPr>
          <w:rFonts w:ascii="Times New Roman" w:hAnsi="Times New Roman"/>
          <w:sz w:val="21"/>
        </w:rPr>
        <w:t>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w:t>
      </w:r>
      <w:r>
        <w:rPr>
          <w:rFonts w:ascii="Times New Roman" w:hAnsi="Times New Roman"/>
          <w:sz w:val="21"/>
        </w:rPr>
        <w:t>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 xml:space="preserve">0) Convey the Minimal Corresponding Source under the terms of this License, and the Corresponding Application Code in a form suitable for, and under terms that permit, </w:t>
      </w:r>
      <w:r>
        <w:rPr>
          <w:rFonts w:ascii="Times New Roman" w:hAnsi="Times New Roman"/>
          <w:sz w:val="21"/>
        </w:rPr>
        <w:t>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w:t>
      </w:r>
      <w:r>
        <w:rPr>
          <w:rFonts w:ascii="Times New Roman" w:hAnsi="Times New Roman"/>
          <w:sz w:val="21"/>
        </w:rPr>
        <w:t>anism for linking with the Library. A suitable mechanism is one that (a) uses at run time a copy of the Library already present on the user's computer system, and (b) will operate properly with a modified version of the Library that is interface-compatible</w:t>
      </w:r>
      <w:r>
        <w:rPr>
          <w:rFonts w:ascii="Times New Roman" w:hAnsi="Times New Roman"/>
          <w:sz w:val="21"/>
        </w:rPr>
        <w:t xml:space="preserv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w:t>
      </w:r>
      <w:r>
        <w:rPr>
          <w:rFonts w:ascii="Times New Roman" w:hAnsi="Times New Roman"/>
          <w:sz w:val="21"/>
        </w:rPr>
        <w:t>ed version of the Combined Work produced by recombining or relinking the Application with a modified version of the Linked Version. (If you use option 4d0, the Installation Information must accompany the Minimal Corresponding Source and Corresponding Appli</w:t>
      </w:r>
      <w:r>
        <w:rPr>
          <w:rFonts w:ascii="Times New Roman" w:hAnsi="Times New Roman"/>
          <w:sz w:val="21"/>
        </w:rPr>
        <w:t>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 xml:space="preserve">You may place library facilities that are a work based on the </w:t>
      </w:r>
      <w:r>
        <w:rPr>
          <w:rFonts w:ascii="Times New Roman" w:hAnsi="Times New Roman"/>
          <w:sz w:val="21"/>
        </w:rPr>
        <w:t>Library side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 xml:space="preserve">a) Accompany the </w:t>
      </w:r>
      <w:r>
        <w:rPr>
          <w:rFonts w:ascii="Times New Roman" w:hAnsi="Times New Roman"/>
          <w:sz w:val="21"/>
        </w:rPr>
        <w:t>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w:t>
      </w:r>
      <w:r>
        <w:rPr>
          <w:rFonts w:ascii="Times New Roman" w:hAnsi="Times New Roman"/>
          <w:sz w:val="21"/>
        </w:rPr>
        <w:t>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License from </w:t>
      </w:r>
      <w:r>
        <w:rPr>
          <w:rFonts w:ascii="Times New Roman" w:hAnsi="Times New Roman"/>
          <w:sz w:val="21"/>
        </w:rPr>
        <w:t>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w:t>
      </w:r>
      <w:r>
        <w:rPr>
          <w:rFonts w:ascii="Times New Roman" w:hAnsi="Times New Roman"/>
          <w:sz w:val="21"/>
        </w:rPr>
        <w:t xml:space="preserve">in numbered version of the GNU Lesser General Public License "or any later version" applies to it, you have the option of following the terms and conditions either of that published version or of any later version published by </w:t>
      </w:r>
      <w:r>
        <w:rPr>
          <w:rFonts w:ascii="Times New Roman" w:hAnsi="Times New Roman"/>
          <w:sz w:val="21"/>
        </w:rPr>
        <w:lastRenderedPageBreak/>
        <w:t>the Free Software Foundation.</w:t>
      </w:r>
      <w:r>
        <w:rPr>
          <w:rFonts w:ascii="Times New Roman" w:hAnsi="Times New Roman"/>
          <w:sz w:val="21"/>
        </w:rPr>
        <w:t xml:space="preserve">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w:t>
      </w:r>
      <w:r>
        <w:rPr>
          <w:rFonts w:ascii="Times New Roman" w:hAnsi="Times New Roman"/>
          <w:sz w:val="21"/>
        </w:rPr>
        <w:t>ed it specifies that a proxy can decide whether future versions of the GNU Lesser General Public License shall apply, that proxy's public statement of acceptance of any version is permanent authorization for you to choose that version for the Library.</w:t>
      </w:r>
    </w:p>
    <w:p w:rsidR="000F02C2" w:rsidRDefault="00634C6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w:t>
      </w:r>
      <w:r>
        <w:rPr>
          <w:rFonts w:hint="eastAsia"/>
          <w:b/>
          <w:color w:val="auto"/>
          <w:sz w:val="32"/>
          <w:szCs w:val="32"/>
        </w:rPr>
        <w: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F02C2" w:rsidRDefault="00634C6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w:t>
      </w:r>
      <w:r>
        <w:rPr>
          <w:rFonts w:ascii="Arial" w:hAnsi="Arial" w:cs="Arial"/>
        </w:rPr>
        <w:t>tware licensed under an open source software license if you send us a written request by mail or email to the following addresses:</w:t>
      </w:r>
      <w:r>
        <w:t xml:space="preserve"> </w:t>
      </w:r>
    </w:p>
    <w:p w:rsidR="000F02C2" w:rsidRDefault="00634C6C">
      <w:pPr>
        <w:rPr>
          <w:rFonts w:ascii="Arial" w:hAnsi="Arial" w:cs="Arial"/>
          <w:color w:val="0000FF"/>
          <w:u w:val="single"/>
        </w:rPr>
      </w:pPr>
      <w:r>
        <w:rPr>
          <w:rFonts w:ascii="Arial" w:hAnsi="Arial" w:cs="Arial" w:hint="eastAsia"/>
          <w:color w:val="0000FF"/>
          <w:u w:val="single"/>
        </w:rPr>
        <w:t>foss@huawei.com</w:t>
      </w:r>
    </w:p>
    <w:p w:rsidR="000F02C2" w:rsidRDefault="00634C6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w:t>
      </w:r>
      <w:r>
        <w:rPr>
          <w:rFonts w:ascii="Arial" w:hAnsi="Arial" w:cs="Arial"/>
          <w:color w:val="000000"/>
        </w:rPr>
        <w:t xml:space="preserve"> how we can contact you.</w:t>
      </w:r>
    </w:p>
    <w:p w:rsidR="000F02C2" w:rsidRDefault="00634C6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w:t>
      </w:r>
      <w:r>
        <w:rPr>
          <w:rFonts w:ascii="Arial" w:hAnsi="Arial" w:cs="Arial" w:hint="eastAsia"/>
          <w:color w:val="000000"/>
        </w:rPr>
        <w:t xml:space="preserve"> mail or email.</w:t>
      </w:r>
    </w:p>
    <w:p w:rsidR="000F02C2" w:rsidRDefault="00634C6C">
      <w:pPr>
        <w:rPr>
          <w:rFonts w:ascii="Arial" w:hAnsi="Arial" w:cs="Arial"/>
          <w:color w:val="000000"/>
        </w:rPr>
      </w:pPr>
      <w:r>
        <w:rPr>
          <w:rFonts w:ascii="Arial" w:hAnsi="Arial" w:cs="Arial"/>
          <w:color w:val="000000"/>
        </w:rPr>
        <w:t>This offer is valid to anyone in receipt of this information.</w:t>
      </w:r>
    </w:p>
    <w:p w:rsidR="000F02C2" w:rsidRDefault="00634C6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F02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C6C" w:rsidRDefault="00634C6C">
      <w:pPr>
        <w:spacing w:line="240" w:lineRule="auto"/>
      </w:pPr>
      <w:r>
        <w:separator/>
      </w:r>
    </w:p>
  </w:endnote>
  <w:endnote w:type="continuationSeparator" w:id="0">
    <w:p w:rsidR="00634C6C" w:rsidRDefault="00634C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02C2">
      <w:tc>
        <w:tcPr>
          <w:tcW w:w="1542" w:type="pct"/>
        </w:tcPr>
        <w:p w:rsidR="000F02C2" w:rsidRDefault="00634C6C">
          <w:pPr>
            <w:pStyle w:val="a6"/>
          </w:pPr>
          <w:r>
            <w:fldChar w:fldCharType="begin"/>
          </w:r>
          <w:r>
            <w:instrText xml:space="preserve"> DATE \@ "yyyy-MM-dd" </w:instrText>
          </w:r>
          <w:r>
            <w:fldChar w:fldCharType="separate"/>
          </w:r>
          <w:r w:rsidR="006A1EA4">
            <w:rPr>
              <w:noProof/>
            </w:rPr>
            <w:t>2022-03-19</w:t>
          </w:r>
          <w:r>
            <w:fldChar w:fldCharType="end"/>
          </w:r>
        </w:p>
      </w:tc>
      <w:tc>
        <w:tcPr>
          <w:tcW w:w="1853" w:type="pct"/>
        </w:tcPr>
        <w:p w:rsidR="000F02C2" w:rsidRDefault="00634C6C">
          <w:pPr>
            <w:pStyle w:val="a6"/>
            <w:ind w:firstLineChars="200" w:firstLine="360"/>
          </w:pPr>
          <w:r>
            <w:rPr>
              <w:rFonts w:hint="eastAsia"/>
            </w:rPr>
            <w:t>HUAWEI Confidential</w:t>
          </w:r>
        </w:p>
      </w:tc>
      <w:tc>
        <w:tcPr>
          <w:tcW w:w="1605" w:type="pct"/>
        </w:tcPr>
        <w:p w:rsidR="000F02C2" w:rsidRDefault="00634C6C">
          <w:pPr>
            <w:pStyle w:val="a6"/>
            <w:ind w:firstLine="360"/>
            <w:jc w:val="right"/>
          </w:pPr>
          <w:r>
            <w:t>Page</w:t>
          </w:r>
          <w:r>
            <w:fldChar w:fldCharType="begin"/>
          </w:r>
          <w:r>
            <w:instrText>PAGE</w:instrText>
          </w:r>
          <w:r>
            <w:fldChar w:fldCharType="separate"/>
          </w:r>
          <w:r w:rsidR="006A1EA4">
            <w:rPr>
              <w:noProof/>
            </w:rPr>
            <w:t>3</w:t>
          </w:r>
          <w:r>
            <w:fldChar w:fldCharType="end"/>
          </w:r>
          <w:r>
            <w:t>, Total</w:t>
          </w:r>
          <w:r>
            <w:fldChar w:fldCharType="begin"/>
          </w:r>
          <w:r>
            <w:instrText xml:space="preserve"> NUMPAGES  \* Arabic  \* MERGEFORMAT </w:instrText>
          </w:r>
          <w:r>
            <w:fldChar w:fldCharType="separate"/>
          </w:r>
          <w:r w:rsidR="006A1EA4">
            <w:rPr>
              <w:noProof/>
            </w:rPr>
            <w:t>4</w:t>
          </w:r>
          <w:r>
            <w:fldChar w:fldCharType="end"/>
          </w:r>
        </w:p>
      </w:tc>
    </w:tr>
  </w:tbl>
  <w:p w:rsidR="000F02C2" w:rsidRDefault="000F02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C6C" w:rsidRDefault="00634C6C">
      <w:r>
        <w:separator/>
      </w:r>
    </w:p>
  </w:footnote>
  <w:footnote w:type="continuationSeparator" w:id="0">
    <w:p w:rsidR="00634C6C" w:rsidRDefault="00634C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02C2">
      <w:trPr>
        <w:cantSplit/>
        <w:trHeight w:hRule="exact" w:val="777"/>
      </w:trPr>
      <w:tc>
        <w:tcPr>
          <w:tcW w:w="492" w:type="pct"/>
          <w:tcBorders>
            <w:bottom w:val="single" w:sz="6" w:space="0" w:color="auto"/>
          </w:tcBorders>
        </w:tcPr>
        <w:p w:rsidR="000F02C2" w:rsidRDefault="00634C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02C2" w:rsidRDefault="000F02C2">
          <w:pPr>
            <w:ind w:left="420"/>
          </w:pPr>
        </w:p>
      </w:tc>
      <w:tc>
        <w:tcPr>
          <w:tcW w:w="3283" w:type="pct"/>
          <w:tcBorders>
            <w:bottom w:val="single" w:sz="6" w:space="0" w:color="auto"/>
          </w:tcBorders>
          <w:vAlign w:val="bottom"/>
        </w:tcPr>
        <w:p w:rsidR="000F02C2" w:rsidRDefault="00634C6C">
          <w:pPr>
            <w:pStyle w:val="a7"/>
            <w:ind w:firstLine="360"/>
          </w:pPr>
          <w:r>
            <w:t xml:space="preserve">OPEN SOURCE </w:t>
          </w:r>
          <w:r>
            <w:t>SOFTWARE NOTICE</w:t>
          </w:r>
        </w:p>
      </w:tc>
      <w:tc>
        <w:tcPr>
          <w:tcW w:w="1225" w:type="pct"/>
          <w:tcBorders>
            <w:bottom w:val="single" w:sz="6" w:space="0" w:color="auto"/>
          </w:tcBorders>
          <w:vAlign w:val="bottom"/>
        </w:tcPr>
        <w:p w:rsidR="000F02C2" w:rsidRDefault="000F02C2">
          <w:pPr>
            <w:pStyle w:val="a7"/>
            <w:ind w:firstLine="33"/>
          </w:pPr>
        </w:p>
      </w:tc>
    </w:tr>
  </w:tbl>
  <w:p w:rsidR="000F02C2" w:rsidRDefault="000F02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02C2"/>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4C6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EA4"/>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0E1CEA-F9AD-4FD5-B612-D9E1E1125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1426</Words>
  <Characters>8133</Characters>
  <Application>Microsoft Office Word</Application>
  <DocSecurity>0</DocSecurity>
  <Lines>67</Lines>
  <Paragraphs>19</Paragraphs>
  <ScaleCrop>false</ScaleCrop>
  <Company>Huawei Technologies Co.,Ltd.</Company>
  <LinksUpToDate>false</LinksUpToDate>
  <CharactersWithSpaces>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1647671238</vt:lpwstr>
  </property>
</Properties>
</file>