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422" w:rsidRDefault="00E455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2422" w:rsidRDefault="00CC2422">
      <w:pPr>
        <w:spacing w:line="420" w:lineRule="exact"/>
        <w:jc w:val="center"/>
        <w:rPr>
          <w:rFonts w:ascii="Arial" w:hAnsi="Arial" w:cs="Arial"/>
          <w:b/>
          <w:snapToGrid/>
          <w:sz w:val="32"/>
          <w:szCs w:val="32"/>
        </w:rPr>
      </w:pPr>
    </w:p>
    <w:p w:rsidR="00CC2422" w:rsidRDefault="00E455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2422" w:rsidRDefault="00CC2422">
      <w:pPr>
        <w:spacing w:line="420" w:lineRule="exact"/>
        <w:jc w:val="both"/>
        <w:rPr>
          <w:rFonts w:ascii="Arial" w:hAnsi="Arial" w:cs="Arial"/>
          <w:snapToGrid/>
        </w:rPr>
      </w:pPr>
    </w:p>
    <w:p w:rsidR="00CC2422" w:rsidRDefault="00E455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2422" w:rsidRDefault="00E455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2422" w:rsidRDefault="00CC2422">
      <w:pPr>
        <w:spacing w:line="420" w:lineRule="exact"/>
        <w:jc w:val="both"/>
        <w:rPr>
          <w:rFonts w:ascii="Arial" w:hAnsi="Arial" w:cs="Arial"/>
          <w:i/>
          <w:snapToGrid/>
          <w:color w:val="0099FF"/>
          <w:sz w:val="18"/>
          <w:szCs w:val="18"/>
        </w:rPr>
      </w:pPr>
    </w:p>
    <w:p w:rsidR="00CC2422" w:rsidRDefault="00E455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2422" w:rsidRDefault="00CC2422">
      <w:pPr>
        <w:pStyle w:val="a8"/>
        <w:spacing w:before="0" w:after="0" w:line="240" w:lineRule="auto"/>
        <w:jc w:val="left"/>
        <w:rPr>
          <w:rFonts w:ascii="Arial" w:hAnsi="Arial" w:cs="Arial"/>
          <w:bCs w:val="0"/>
          <w:sz w:val="21"/>
          <w:szCs w:val="21"/>
        </w:rPr>
      </w:pPr>
    </w:p>
    <w:p w:rsidR="00CC2422" w:rsidRDefault="00E455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catch1 1.12.2</w:t>
      </w:r>
    </w:p>
    <w:p w:rsidR="00CC2422" w:rsidRDefault="00E455AF">
      <w:pPr>
        <w:rPr>
          <w:rFonts w:ascii="Arial" w:hAnsi="Arial" w:cs="Arial"/>
          <w:b/>
        </w:rPr>
      </w:pPr>
      <w:r>
        <w:rPr>
          <w:rFonts w:ascii="Arial" w:hAnsi="Arial" w:cs="Arial"/>
          <w:b/>
        </w:rPr>
        <w:t xml:space="preserve">Copyright notice: </w:t>
      </w:r>
    </w:p>
    <w:p w:rsidR="00CC2422" w:rsidRDefault="00E455AF">
      <w:pPr>
        <w:pStyle w:val="Default"/>
        <w:rPr>
          <w:rFonts w:ascii="宋体" w:hAnsi="宋体" w:cs="宋体"/>
          <w:sz w:val="22"/>
          <w:szCs w:val="22"/>
        </w:rPr>
      </w:pPr>
      <w:r>
        <w:rPr>
          <w:rFonts w:ascii="宋体" w:hAnsi="宋体"/>
          <w:sz w:val="22"/>
        </w:rPr>
        <w:t>Copyright 2013 Two Blue Cubes Ltd. All rights reserved.</w:t>
      </w:r>
      <w:r>
        <w:rPr>
          <w:rFonts w:ascii="宋体" w:hAnsi="宋体"/>
          <w:sz w:val="22"/>
        </w:rPr>
        <w:br/>
      </w:r>
      <w:r>
        <w:rPr>
          <w:rFonts w:ascii="宋体" w:hAnsi="宋体"/>
          <w:sz w:val="22"/>
        </w:rPr>
        <w:t>Copyright 2014 Two Blue Cubes Ltd</w:t>
      </w:r>
      <w:r>
        <w:rPr>
          <w:rFonts w:ascii="宋体" w:hAnsi="宋体"/>
          <w:sz w:val="22"/>
        </w:rPr>
        <w:br/>
        <w:t>Copyright 2015 Two Blue Cubes Ltd. All rights reserved.</w:t>
      </w:r>
      <w:r>
        <w:rPr>
          <w:rFonts w:ascii="宋体" w:hAnsi="宋体"/>
          <w:sz w:val="22"/>
        </w:rPr>
        <w:br/>
        <w:t xml:space="preserve">Copyright 2012 Martin </w:t>
      </w:r>
      <w:proofErr w:type="spellStart"/>
      <w:r>
        <w:rPr>
          <w:rFonts w:ascii="宋体" w:hAnsi="宋体"/>
          <w:sz w:val="22"/>
        </w:rPr>
        <w:t>Moene</w:t>
      </w:r>
      <w:proofErr w:type="spellEnd"/>
      <w:r>
        <w:rPr>
          <w:rFonts w:ascii="宋体" w:hAnsi="宋体"/>
          <w:sz w:val="22"/>
        </w:rPr>
        <w:t>. All rights reserved.</w:t>
      </w:r>
      <w:r>
        <w:rPr>
          <w:rFonts w:ascii="宋体" w:hAnsi="宋体"/>
          <w:sz w:val="22"/>
        </w:rPr>
        <w:br/>
        <w:t>Copyright 2014 Two Blue Cubes Ltd. All rights reserved.</w:t>
      </w:r>
      <w:r>
        <w:rPr>
          <w:rFonts w:ascii="宋体" w:hAnsi="宋体"/>
          <w:sz w:val="22"/>
        </w:rPr>
        <w:br/>
        <w:t>Copyright (c) 2012 Two Blue Cubes Ltd. All rights reserved.</w:t>
      </w:r>
      <w:r>
        <w:rPr>
          <w:rFonts w:ascii="宋体" w:hAnsi="宋体"/>
          <w:sz w:val="22"/>
        </w:rPr>
        <w:br/>
      </w:r>
      <w:r>
        <w:rPr>
          <w:rFonts w:ascii="宋体" w:hAnsi="宋体"/>
          <w:sz w:val="22"/>
        </w:rPr>
        <w:t>Copyright 2012 Two Blue Cubes Ltd. All rights reserved.</w:t>
      </w:r>
      <w:r>
        <w:rPr>
          <w:rFonts w:ascii="宋体" w:hAnsi="宋体"/>
          <w:sz w:val="22"/>
        </w:rPr>
        <w:br/>
        <w:t>Copyright 2017 Justin R. Wilson. All rights reserved.</w:t>
      </w:r>
      <w:r>
        <w:rPr>
          <w:rFonts w:ascii="宋体" w:hAnsi="宋体"/>
          <w:sz w:val="22"/>
        </w:rPr>
        <w:br/>
        <w:t>Copyright 2015 Two Blue Cubes Ltd</w:t>
      </w:r>
      <w:r>
        <w:rPr>
          <w:rFonts w:ascii="宋体" w:hAnsi="宋体"/>
          <w:sz w:val="22"/>
        </w:rPr>
        <w:br/>
        <w:t xml:space="preserve">Copyright 2015 Martin </w:t>
      </w:r>
      <w:proofErr w:type="spellStart"/>
      <w:r>
        <w:rPr>
          <w:rFonts w:ascii="宋体" w:hAnsi="宋体"/>
          <w:sz w:val="22"/>
        </w:rPr>
        <w:t>Moene</w:t>
      </w:r>
      <w:proofErr w:type="spellEnd"/>
      <w:r>
        <w:rPr>
          <w:rFonts w:ascii="宋体" w:hAnsi="宋体"/>
          <w:sz w:val="22"/>
        </w:rPr>
        <w:t>. All rights reserved.</w:t>
      </w:r>
      <w:r>
        <w:rPr>
          <w:rFonts w:ascii="宋体" w:hAnsi="宋体"/>
          <w:sz w:val="22"/>
        </w:rPr>
        <w:br/>
        <w:t>Copyright 2017 Two Blue Cubes Ltd. All rights reserved.</w:t>
      </w:r>
      <w:r>
        <w:rPr>
          <w:rFonts w:ascii="宋体" w:hAnsi="宋体"/>
          <w:sz w:val="22"/>
        </w:rPr>
        <w:br/>
      </w:r>
      <w:r>
        <w:rPr>
          <w:rFonts w:ascii="宋体" w:hAnsi="宋体"/>
          <w:sz w:val="22"/>
        </w:rPr>
        <w:t>Copyright (c) 2012 Two Blue Cubes Ltd. All rights reserved.</w:t>
      </w:r>
      <w:bookmarkStart w:id="0" w:name="_GoBack"/>
      <w:bookmarkEnd w:id="0"/>
      <w:r w:rsidR="005809B3">
        <w:rPr>
          <w:rFonts w:ascii="宋体" w:hAnsi="宋体"/>
          <w:sz w:val="22"/>
        </w:rPr>
        <w:t xml:space="preserve"> </w:t>
      </w:r>
      <w:r>
        <w:rPr>
          <w:rFonts w:ascii="宋体" w:hAnsi="宋体"/>
          <w:sz w:val="22"/>
        </w:rPr>
        <w:br/>
        <w:t>Copyright 2010 Two Blue Cubes Ltd</w:t>
      </w:r>
      <w:r>
        <w:rPr>
          <w:rFonts w:ascii="宋体" w:hAnsi="宋体"/>
          <w:sz w:val="22"/>
        </w:rPr>
        <w:br/>
        <w:t>Copyright 2016 Two Blue Cubes Ltd. All rights reserved.</w:t>
      </w:r>
      <w:r>
        <w:rPr>
          <w:rFonts w:ascii="宋体" w:hAnsi="宋体"/>
          <w:sz w:val="22"/>
        </w:rPr>
        <w:br/>
        <w:t>Copyright 2011 Two Blue Cubes Ltd. All rights reserved.</w:t>
      </w:r>
      <w:r>
        <w:rPr>
          <w:rFonts w:ascii="宋体" w:hAnsi="宋体"/>
          <w:sz w:val="22"/>
        </w:rPr>
        <w:br/>
        <w:t>Copyright 2010 Two Blue Cubes Ltd. All r</w:t>
      </w:r>
      <w:r>
        <w:rPr>
          <w:rFonts w:ascii="宋体" w:hAnsi="宋体"/>
          <w:sz w:val="22"/>
        </w:rPr>
        <w:t>ights reserved.</w:t>
      </w:r>
      <w:r>
        <w:rPr>
          <w:rFonts w:ascii="宋体" w:hAnsi="宋体"/>
          <w:sz w:val="22"/>
        </w:rPr>
        <w:br/>
        <w:t>Copyright (c) 2017 Two Blue Cubes Ltd. All rights reserved.</w:t>
      </w:r>
      <w:r>
        <w:rPr>
          <w:rFonts w:ascii="宋体" w:hAnsi="宋体"/>
          <w:sz w:val="22"/>
        </w:rPr>
        <w:br/>
      </w:r>
    </w:p>
    <w:p w:rsidR="00CC2422" w:rsidRDefault="00E455AF">
      <w:pPr>
        <w:pStyle w:val="Default"/>
        <w:rPr>
          <w:rFonts w:ascii="宋体" w:hAnsi="宋体" w:cs="宋体"/>
          <w:sz w:val="22"/>
          <w:szCs w:val="22"/>
        </w:rPr>
      </w:pPr>
      <w:r>
        <w:rPr>
          <w:b/>
        </w:rPr>
        <w:t xml:space="preserve">License: </w:t>
      </w:r>
      <w:r>
        <w:rPr>
          <w:sz w:val="21"/>
        </w:rPr>
        <w:t>Boost</w:t>
      </w:r>
    </w:p>
    <w:p w:rsidR="00CC2422" w:rsidRDefault="00E455AF">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w:t>
      </w:r>
      <w:r>
        <w:rPr>
          <w:rFonts w:ascii="Times New Roman" w:hAnsi="Times New Roman"/>
          <w:sz w:val="21"/>
        </w:rPr>
        <w:t>re and accompanying documentation covered by this license (the "Software") to use, reproduce, display, distribute, execute, and transmit the Software, and to prepare derivative works of the Software, and to permit third-parties to whom the Software is furn</w:t>
      </w:r>
      <w:r>
        <w:rPr>
          <w:rFonts w:ascii="Times New Roman" w:hAnsi="Times New Roman"/>
          <w:sz w:val="21"/>
        </w:rPr>
        <w:t>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w:t>
      </w:r>
      <w:r>
        <w:rPr>
          <w:rFonts w:ascii="Times New Roman" w:hAnsi="Times New Roman"/>
          <w:sz w:val="21"/>
        </w:rPr>
        <w:t xml:space="preserve">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w:t>
      </w:r>
      <w:r>
        <w:rPr>
          <w:rFonts w:ascii="Times New Roman" w:hAnsi="Times New Roman"/>
          <w:sz w:val="21"/>
        </w:rPr>
        <w:t>ESS OR IMPLIED, INCLUDING BUT NOT LIMITED TO THE WARRANTIES OF MERCHANTABILITY, FITNESS FOR A PARTICULAR PURPOSE, TITLE AND NON-INFRINGEMENT. IN NO EVENT SHALL THE COPYRIGHT HOLDERS OR ANYONE DISTRIBUTING THE SOFTWARE BE LIABLE FOR ANY DAMAGES OR OTHER LIA</w:t>
      </w:r>
      <w:r>
        <w:rPr>
          <w:rFonts w:ascii="Times New Roman" w:hAnsi="Times New Roman"/>
          <w:sz w:val="21"/>
        </w:rPr>
        <w:t>BILITY, WHETHER IN CONTRACT, TORT OR OTHERWISE, ARISING FROM, OUT OF OR IN CONNECTION WITH THE SOFTWARE OR THE USE OR OTHER DEALINGS IN THE SOFTWARE.</w:t>
      </w:r>
    </w:p>
    <w:sectPr w:rsidR="00CC24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5AF" w:rsidRDefault="00E455AF">
      <w:pPr>
        <w:spacing w:line="240" w:lineRule="auto"/>
      </w:pPr>
      <w:r>
        <w:separator/>
      </w:r>
    </w:p>
  </w:endnote>
  <w:endnote w:type="continuationSeparator" w:id="0">
    <w:p w:rsidR="00E455AF" w:rsidRDefault="00E455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2422">
      <w:tc>
        <w:tcPr>
          <w:tcW w:w="1542" w:type="pct"/>
        </w:tcPr>
        <w:p w:rsidR="00CC2422" w:rsidRDefault="00E455AF">
          <w:pPr>
            <w:pStyle w:val="a6"/>
          </w:pPr>
          <w:r>
            <w:fldChar w:fldCharType="begin"/>
          </w:r>
          <w:r>
            <w:instrText xml:space="preserve"> DATE \@ "yyyy-MM-dd" </w:instrText>
          </w:r>
          <w:r>
            <w:fldChar w:fldCharType="separate"/>
          </w:r>
          <w:r w:rsidR="005809B3">
            <w:rPr>
              <w:noProof/>
            </w:rPr>
            <w:t>2022-03-19</w:t>
          </w:r>
          <w:r>
            <w:fldChar w:fldCharType="end"/>
          </w:r>
        </w:p>
      </w:tc>
      <w:tc>
        <w:tcPr>
          <w:tcW w:w="1853" w:type="pct"/>
        </w:tcPr>
        <w:p w:rsidR="00CC2422" w:rsidRDefault="00E455AF">
          <w:pPr>
            <w:pStyle w:val="a6"/>
            <w:ind w:firstLineChars="200" w:firstLine="360"/>
          </w:pPr>
          <w:r>
            <w:rPr>
              <w:rFonts w:hint="eastAsia"/>
            </w:rPr>
            <w:t>HUAWEI Confidential</w:t>
          </w:r>
        </w:p>
      </w:tc>
      <w:tc>
        <w:tcPr>
          <w:tcW w:w="1605" w:type="pct"/>
        </w:tcPr>
        <w:p w:rsidR="00CC2422" w:rsidRDefault="00E455AF">
          <w:pPr>
            <w:pStyle w:val="a6"/>
            <w:ind w:firstLine="360"/>
            <w:jc w:val="right"/>
          </w:pPr>
          <w:r>
            <w:t>Page</w:t>
          </w:r>
          <w:r>
            <w:fldChar w:fldCharType="begin"/>
          </w:r>
          <w:r>
            <w:instrText>PAGE</w:instrText>
          </w:r>
          <w:r>
            <w:fldChar w:fldCharType="separate"/>
          </w:r>
          <w:r w:rsidR="005809B3">
            <w:rPr>
              <w:noProof/>
            </w:rPr>
            <w:t>2</w:t>
          </w:r>
          <w:r>
            <w:fldChar w:fldCharType="end"/>
          </w:r>
          <w:r>
            <w:t>, Total</w:t>
          </w:r>
          <w:r>
            <w:fldChar w:fldCharType="begin"/>
          </w:r>
          <w:r>
            <w:instrText xml:space="preserve"> NUMPAGES  \* Arabic  \* MERGEFORMAT </w:instrText>
          </w:r>
          <w:r>
            <w:fldChar w:fldCharType="separate"/>
          </w:r>
          <w:r w:rsidR="005809B3">
            <w:rPr>
              <w:noProof/>
            </w:rPr>
            <w:t>2</w:t>
          </w:r>
          <w:r>
            <w:fldChar w:fldCharType="end"/>
          </w:r>
        </w:p>
      </w:tc>
    </w:tr>
  </w:tbl>
  <w:p w:rsidR="00CC2422" w:rsidRDefault="00CC24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5AF" w:rsidRDefault="00E455AF">
      <w:r>
        <w:separator/>
      </w:r>
    </w:p>
  </w:footnote>
  <w:footnote w:type="continuationSeparator" w:id="0">
    <w:p w:rsidR="00E455AF" w:rsidRDefault="00E45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2422">
      <w:trPr>
        <w:cantSplit/>
        <w:trHeight w:hRule="exact" w:val="777"/>
      </w:trPr>
      <w:tc>
        <w:tcPr>
          <w:tcW w:w="492" w:type="pct"/>
          <w:tcBorders>
            <w:bottom w:val="single" w:sz="6" w:space="0" w:color="auto"/>
          </w:tcBorders>
        </w:tcPr>
        <w:p w:rsidR="00CC2422" w:rsidRDefault="00E455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2422" w:rsidRDefault="00CC2422">
          <w:pPr>
            <w:ind w:left="420"/>
          </w:pPr>
        </w:p>
      </w:tc>
      <w:tc>
        <w:tcPr>
          <w:tcW w:w="3283" w:type="pct"/>
          <w:tcBorders>
            <w:bottom w:val="single" w:sz="6" w:space="0" w:color="auto"/>
          </w:tcBorders>
          <w:vAlign w:val="bottom"/>
        </w:tcPr>
        <w:p w:rsidR="00CC2422" w:rsidRDefault="00E455AF">
          <w:pPr>
            <w:pStyle w:val="a7"/>
            <w:ind w:firstLine="360"/>
          </w:pPr>
          <w:r>
            <w:t>OPEN SOURCE SOFTWARE NOTICE</w:t>
          </w:r>
        </w:p>
      </w:tc>
      <w:tc>
        <w:tcPr>
          <w:tcW w:w="1225" w:type="pct"/>
          <w:tcBorders>
            <w:bottom w:val="single" w:sz="6" w:space="0" w:color="auto"/>
          </w:tcBorders>
          <w:vAlign w:val="bottom"/>
        </w:tcPr>
        <w:p w:rsidR="00CC2422" w:rsidRDefault="00CC2422">
          <w:pPr>
            <w:pStyle w:val="a7"/>
            <w:ind w:firstLine="33"/>
          </w:pPr>
        </w:p>
      </w:tc>
    </w:tr>
  </w:tbl>
  <w:p w:rsidR="00CC2422" w:rsidRDefault="00CC242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9B3"/>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42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55AF"/>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834D9-FF48-4A48-9C19-CD9B35FC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2752</Characters>
  <Application>Microsoft Office Word</Application>
  <DocSecurity>0</DocSecurity>
  <Lines>22</Lines>
  <Paragraphs>6</Paragraphs>
  <ScaleCrop>false</ScaleCrop>
  <Company>Huawei Technologies Co.,Ltd.</Company>
  <LinksUpToDate>false</LinksUpToDate>
  <CharactersWithSpaces>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1647661190</vt:lpwstr>
  </property>
</Properties>
</file>