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330" w:rsidRDefault="007301C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E7330" w:rsidRDefault="00DE7330">
      <w:pPr>
        <w:spacing w:line="420" w:lineRule="exact"/>
        <w:jc w:val="center"/>
        <w:rPr>
          <w:rFonts w:ascii="Arial" w:hAnsi="Arial" w:cs="Arial"/>
          <w:b/>
          <w:snapToGrid/>
          <w:sz w:val="32"/>
          <w:szCs w:val="32"/>
        </w:rPr>
      </w:pPr>
    </w:p>
    <w:p w:rsidR="00DE7330" w:rsidRDefault="007301C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E7330" w:rsidRDefault="00DE7330">
      <w:pPr>
        <w:spacing w:line="420" w:lineRule="exact"/>
        <w:jc w:val="both"/>
        <w:rPr>
          <w:rFonts w:ascii="Arial" w:hAnsi="Arial" w:cs="Arial"/>
          <w:snapToGrid/>
        </w:rPr>
      </w:pPr>
    </w:p>
    <w:p w:rsidR="00DE7330" w:rsidRDefault="007301C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E7330" w:rsidRDefault="007301C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E7330" w:rsidRDefault="00DE7330">
      <w:pPr>
        <w:spacing w:line="420" w:lineRule="exact"/>
        <w:jc w:val="both"/>
        <w:rPr>
          <w:rFonts w:ascii="Arial" w:hAnsi="Arial" w:cs="Arial"/>
          <w:i/>
          <w:snapToGrid/>
          <w:color w:val="0099FF"/>
          <w:sz w:val="18"/>
          <w:szCs w:val="18"/>
        </w:rPr>
      </w:pPr>
    </w:p>
    <w:p w:rsidR="00DE7330" w:rsidRDefault="007301C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E7330" w:rsidRDefault="00DE7330">
      <w:pPr>
        <w:pStyle w:val="a8"/>
        <w:spacing w:before="0" w:after="0" w:line="240" w:lineRule="auto"/>
        <w:jc w:val="left"/>
        <w:rPr>
          <w:rFonts w:ascii="Arial" w:hAnsi="Arial" w:cs="Arial"/>
          <w:bCs w:val="0"/>
          <w:sz w:val="21"/>
          <w:szCs w:val="21"/>
        </w:rPr>
      </w:pPr>
    </w:p>
    <w:p w:rsidR="00DE7330" w:rsidRDefault="007301C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kiran-flameshot 2.2.2</w:t>
      </w:r>
    </w:p>
    <w:p w:rsidR="00DE7330" w:rsidRDefault="007301CE">
      <w:pPr>
        <w:rPr>
          <w:rFonts w:ascii="Arial" w:hAnsi="Arial" w:cs="Arial"/>
          <w:b/>
        </w:rPr>
      </w:pPr>
      <w:r>
        <w:rPr>
          <w:rFonts w:ascii="Arial" w:hAnsi="Arial" w:cs="Arial"/>
          <w:b/>
        </w:rPr>
        <w:t xml:space="preserve">Copyright notice: </w:t>
      </w:r>
    </w:p>
    <w:p w:rsidR="00DE7330" w:rsidRDefault="007301CE">
      <w:pPr>
        <w:pStyle w:val="Default"/>
        <w:rPr>
          <w:rFonts w:ascii="宋体" w:hAnsi="宋体" w:cs="宋体"/>
          <w:sz w:val="22"/>
          <w:szCs w:val="22"/>
        </w:rPr>
      </w:pPr>
      <w:r>
        <w:rPr>
          <w:rFonts w:ascii="宋体" w:hAnsi="宋体"/>
          <w:sz w:val="22"/>
        </w:rPr>
        <w:t>Copyright(c) 2017-2019 Alejandro Sirgo Rica &amp; Contributors</w:t>
      </w:r>
      <w:r>
        <w:rPr>
          <w:rFonts w:ascii="宋体" w:hAnsi="宋体"/>
          <w:sz w:val="22"/>
        </w:rPr>
        <w:br/>
        <w:t>Copyright (C) 2017  2018 Deepin Technology Co., Ltd.</w:t>
      </w:r>
      <w:r>
        <w:rPr>
          <w:rFonts w:ascii="宋体" w:hAnsi="宋体"/>
          <w:sz w:val="22"/>
        </w:rPr>
        <w:br/>
        <w:t>﻿Copyright(c) 2017-2019 Alejandro Sirgo Rica &amp; Contributors</w:t>
      </w:r>
      <w:r>
        <w:rPr>
          <w:rFonts w:ascii="宋体" w:hAnsi="宋体"/>
          <w:sz w:val="22"/>
        </w:rPr>
        <w:br/>
        <w:t>Copyright 2017  Christian Kaiser &lt;info@ckaiser.com.ar&gt;</w:t>
      </w:r>
      <w:r>
        <w:rPr>
          <w:rFonts w:ascii="宋体" w:hAnsi="宋体"/>
          <w:sz w:val="22"/>
        </w:rPr>
        <w:br/>
        <w:t>Copyright (c) 2006, 2008 Junio C Hamano</w:t>
      </w:r>
      <w:r>
        <w:rPr>
          <w:rFonts w:ascii="宋体" w:hAnsi="宋体"/>
          <w:sz w:val="22"/>
        </w:rPr>
        <w:br/>
        <w:t>Copyright (C) 2013-2017 Mattia Basaglia</w:t>
      </w:r>
      <w:r>
        <w:rPr>
          <w:rFonts w:ascii="宋体" w:hAnsi="宋体"/>
          <w:sz w:val="22"/>
        </w:rPr>
        <w:br/>
        <w:t>Copyright (c) Itay Grudev 2015 - 2016</w:t>
      </w:r>
      <w:r>
        <w:rPr>
          <w:rFonts w:ascii="宋体" w:hAnsi="宋体"/>
          <w:sz w:val="22"/>
        </w:rPr>
        <w:br/>
        <w:t>Copyright 2017  Christian Kaiser &lt;info@ckaiser.com.ar&gt;</w:t>
      </w:r>
      <w:r>
        <w:rPr>
          <w:rFonts w:ascii="宋体" w:hAnsi="宋体"/>
          <w:sz w:val="22"/>
        </w:rPr>
        <w:br/>
        <w:t>Copyright 2017  Christian Kaiser &lt;info@ckaiser.com.ar&gt;</w:t>
      </w:r>
      <w:r>
        <w:rPr>
          <w:rFonts w:ascii="宋体" w:hAnsi="宋体"/>
          <w:sz w:val="22"/>
        </w:rPr>
        <w:br/>
        <w:t>Copyright(c) 2017-2018 Alejandro Sirgo Rica &amp; Contributors</w:t>
      </w:r>
      <w:r>
        <w:rPr>
          <w:rFonts w:ascii="宋体" w:hAnsi="宋体"/>
          <w:sz w:val="22"/>
        </w:rPr>
        <w:br/>
        <w:t>Copyright (C) {year}  {name of author}</w:t>
      </w:r>
      <w:r>
        <w:rPr>
          <w:rFonts w:ascii="宋体" w:hAnsi="宋体"/>
          <w:sz w:val="22"/>
        </w:rPr>
        <w:br/>
        <w:t>Copyright (C) 2007 Free Software Foundation, Inc. &lt;http:fsf.org/&gt;</w:t>
      </w:r>
      <w:r>
        <w:rPr>
          <w:rFonts w:ascii="宋体" w:hAnsi="宋体"/>
          <w:sz w:val="22"/>
        </w:rPr>
        <w:br/>
        <w:t>Copyright (C) 2013-2017 Mattia Basaglia</w:t>
      </w:r>
      <w:r>
        <w:rPr>
          <w:rFonts w:ascii="宋体" w:hAnsi="宋体"/>
          <w:sz w:val="22"/>
        </w:rPr>
        <w:br/>
        <w:t>Copyright (C) {year}  {fullname}</w:t>
      </w:r>
      <w:r>
        <w:rPr>
          <w:rFonts w:ascii="宋体" w:hAnsi="宋体"/>
          <w:sz w:val="22"/>
        </w:rPr>
        <w:br/>
        <w:t>Copyright (C) 2013-2017 Mattia Basaglia &lt;mattia.basaglia@gmail.com&gt;</w:t>
      </w:r>
      <w:r>
        <w:rPr>
          <w:rFonts w:ascii="宋体" w:hAnsi="宋体"/>
          <w:sz w:val="22"/>
        </w:rPr>
        <w:br/>
        <w:t>Copyright 2018 Vitaly Zaitsev &lt;vitaly@easycoding.org&gt;</w:t>
      </w:r>
      <w:r>
        <w:rPr>
          <w:rFonts w:ascii="宋体" w:hAnsi="宋体"/>
          <w:sz w:val="22"/>
        </w:rPr>
        <w:br/>
        <w:t>Copyright 2007 Luca Gugelmann &lt;lucag@student.ethz.ch&gt;</w:t>
      </w:r>
      <w:r>
        <w:rPr>
          <w:rFonts w:ascii="宋体" w:hAnsi="宋体"/>
          <w:sz w:val="22"/>
        </w:rPr>
        <w:br/>
      </w:r>
    </w:p>
    <w:p w:rsidR="00DE7330" w:rsidRDefault="007301CE">
      <w:pPr>
        <w:pStyle w:val="Default"/>
        <w:rPr>
          <w:rFonts w:ascii="宋体" w:hAnsi="宋体" w:cs="宋体"/>
          <w:sz w:val="22"/>
          <w:szCs w:val="22"/>
        </w:rPr>
      </w:pPr>
      <w:r>
        <w:rPr>
          <w:b/>
        </w:rPr>
        <w:t xml:space="preserve">License: </w:t>
      </w:r>
      <w:r>
        <w:rPr>
          <w:sz w:val="21"/>
        </w:rPr>
        <w:t>GPL-3.0-only</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GNU GENERAL PUBLIC LICENSE</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Version 3, 29 June 2007</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Copyright © 2007 Free Software Foundation, Inc. &lt;https://fsf.org/&gt;</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Everyone is permitted to copy and distribute verbatim copies of this license document, but changing it is not allowed.</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Preamble</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The GNU General Public License is a free, copyleft license for software and other kinds of works.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lastRenderedPageBreak/>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Developers that use the GNU GPL protect your rights with two steps: (1) assert copyright on the software, and (2) offer you this License giving you legal permission to copy, distribute and/or modify it.</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The precise terms and conditions for copying, distribution and modification follow.</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TERMS AND CONDITIONS</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0. Definitions.</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hint="eastAsia"/>
          <w:color w:val="000000"/>
          <w:sz w:val="21"/>
        </w:rPr>
        <w:t>“</w:t>
      </w:r>
      <w:r w:rsidRPr="006D195D">
        <w:rPr>
          <w:rFonts w:ascii="Times New Roman" w:hAnsi="Times New Roman" w:cs="Arial"/>
          <w:color w:val="000000"/>
          <w:sz w:val="21"/>
        </w:rPr>
        <w:t>This License” refers to version 3 of the GNU General Public License.</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hint="eastAsia"/>
          <w:color w:val="000000"/>
          <w:sz w:val="21"/>
        </w:rPr>
        <w:lastRenderedPageBreak/>
        <w:t>“</w:t>
      </w:r>
      <w:r w:rsidRPr="006D195D">
        <w:rPr>
          <w:rFonts w:ascii="Times New Roman" w:hAnsi="Times New Roman" w:cs="Arial"/>
          <w:color w:val="000000"/>
          <w:sz w:val="21"/>
        </w:rPr>
        <w:t>Copyright” also means copyright-like laws that apply to other kinds of works, such as semiconductor masks.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hint="eastAsia"/>
          <w:color w:val="000000"/>
          <w:sz w:val="21"/>
        </w:rPr>
        <w:t>“</w:t>
      </w:r>
      <w:r w:rsidRPr="006D195D">
        <w:rPr>
          <w:rFonts w:ascii="Times New Roman" w:hAnsi="Times New Roman" w:cs="Arial"/>
          <w:color w:val="000000"/>
          <w:sz w:val="21"/>
        </w:rPr>
        <w:t>The Program” refers to any copyrightable work licensed under this License. Each licensee is addressed as “you”. “Licensees” and “recipients” may be individuals or organizations.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A “covered work” means either the unmodified Program or a work based on the Program.</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To “convey” a work means any kind of propagation that enables other parties to make or receive copies. Mere interaction with a user through a computer network, with no transfer of a copy, is not conveying.</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1. Source Code.</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The “source code” for a work means the preferred form of the work for making modifications to it. “Object code” means any non-source form of a work.</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The Corresponding Source need not include anything that users can regenerate automatically from other parts of the Corresponding Source.</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The Corresponding Source for a work in source code form is that same work.</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2. Basic Permissions.</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w:t>
      </w:r>
      <w:r w:rsidRPr="006D195D">
        <w:rPr>
          <w:rFonts w:ascii="Times New Roman" w:hAnsi="Times New Roman" w:cs="Arial"/>
          <w:color w:val="000000"/>
          <w:sz w:val="21"/>
        </w:rPr>
        <w:lastRenderedPageBreak/>
        <w:t>its content, constitutes a covered work. This License acknowledges your rights of fair use or other equivalent, as provided by copyright law.</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Conveying under any other circumstances is permitted solely under the conditions stated below. Sublicensing is not allowed; section 10 makes it unnecessary.</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3. Protecting Users' Legal Rights From Anti-Circumvention Law.</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4. Conveying Verbatim Copies.</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lastRenderedPageBreak/>
        <w:t>You may charge any price or no price for each copy that you convey, and you may offer support or warranty protection for a fee.</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5. Conveying Modified Source Versions.</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You may convey a work based on the Program, or the modifications to produce it from the Program, in the form of source code under the terms of section 4, provided that you also meet all of these conditions: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a) The work must carry prominent notices stating that you modified it, and giving a relevant date.</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b) The work must carry prominent notices stating that it is released under this License and any conditions added under section 7. This requirement modifies the requirement in section 4 to “keep intact all notices”.</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d) If the work has interactive user interfaces, each must display Appropriate Legal Notices; however, if the Program has interactive interfaces that do not display Appropriate Legal Notices, your work need not make them do so.</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6. Conveying Non-Source Forms.</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You may convey a covered work in object code form under the terms of sections 4 and 5, provided that you also convey the machine-readable Corresponding Source under the terms of this License, in one of these ways: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a) Convey the object code in, or embodied in, a physical product (including a physical distribution medium), accompanied by the Corresponding Source fixed on a durable physical medium customarily used for software interchange.</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lastRenderedPageBreak/>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e) Convey the object code using peer-to-peer transmission, provided you inform other peers where the object code and Corresponding Source of the work are being offered to the general public at no charge under subsection 6d.</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A separable portion of the object code, whose source code is excluded from the Corresponding Source as a System Library, need not be included in conveying the object code work.</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hint="eastAsia"/>
          <w:color w:val="000000"/>
          <w:sz w:val="21"/>
        </w:rPr>
        <w:t>“</w:t>
      </w:r>
      <w:r w:rsidRPr="006D195D">
        <w:rPr>
          <w:rFonts w:ascii="Times New Roman" w:hAnsi="Times New Roman" w:cs="Arial"/>
          <w:color w:val="000000"/>
          <w:sz w:val="21"/>
        </w:rP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w:t>
      </w:r>
      <w:r w:rsidRPr="006D195D">
        <w:rPr>
          <w:rFonts w:ascii="Times New Roman" w:hAnsi="Times New Roman" w:cs="Arial"/>
          <w:color w:val="000000"/>
          <w:sz w:val="21"/>
        </w:rPr>
        <w:lastRenderedPageBreak/>
        <w:t>functioning of the modified object code is in no case prevented or interfered with solely because modification has been made.</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7. Additional Terms.</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hint="eastAsia"/>
          <w:color w:val="000000"/>
          <w:sz w:val="21"/>
        </w:rPr>
        <w:t>“</w:t>
      </w:r>
      <w:r w:rsidRPr="006D195D">
        <w:rPr>
          <w:rFonts w:ascii="Times New Roman" w:hAnsi="Times New Roman" w:cs="Arial"/>
          <w:color w:val="000000"/>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Notwithstanding any other provision of this License, for material you add to a covered work, you may (if authorized by the copyright holders of that material) supplement the terms of this License with terms: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a) Disclaiming warranty or limiting liability differently from the terms of sections 15 and 16 of this License; or</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b) Requiring preservation of specified reasonable legal notices or author attributions in that material or in the Appropriate Legal Notices displayed by works containing it; or</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c) Prohibiting misrepresentation of the origin of that material, or requiring that modified versions of such material be marked in reasonable ways as different from the original version; or</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d) Limiting the use for publicity purposes of names of licensors or authors of the material; or</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e) Declining to grant rights under trademark law for use of some trade names, trademarks, or service marks; or</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If you add terms to a covered work in accord with this section, you must place, in the relevant source files, a statement of the additional terms that apply to those files, or a notice indicating where to find the applicable terms.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Additional terms, permissive or non-permissive, may be stated in the form of a separately written license, or stated as exceptions; the above requirements apply either way.</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8. Termination.</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9. Acceptance Not Required for Having Copies.</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10. Automatic Licensing of Downstream Recipients.</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lastRenderedPageBreak/>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11. Patents.</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A “contributor” is a copyright holder who authorizes use under this License of the Program or a work on which the Program is based. The work thus licensed is called the contributor's “contributor version”.</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lastRenderedPageBreak/>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Nothing in this License shall be construed as excluding or limiting any implied license or other defenses to infringement that may otherwise be available to you under applicable patent law.</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12. No Surrender of Others' Freedom.</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13. Use with the GNU Affero General Public License.</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14. Revised Versions of this License.</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If the Program specifies that a proxy can decide which future versions of the GNU General Public License can be used, that proxy's public statement of acceptance of a version permanently authorizes you to choose that version for the Program.</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Later license versions may give you additional or different permissions. However, no additional obligations are imposed on any author or copyright holder as a result of your choosing to follow a later version.</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15. Disclaimer of Warranty.</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 xml:space="preserve">THERE IS NO WARRANTY FOR THE PROGRAM, TO THE EXTENT PERMITTED BY APPLICABLE LAW. EXCEPT WHEN OTHERWISE STATED IN WRITING THE COPYRIGHT HOLDERS AND/OR OTHER PARTIES PROVIDE THE PROGRAM “AS IS” WITHOUT WARRANTY OF ANY KIND, EITHER </w:t>
      </w:r>
      <w:r w:rsidRPr="006D195D">
        <w:rPr>
          <w:rFonts w:ascii="Times New Roman" w:hAnsi="Times New Roman" w:cs="Arial"/>
          <w:color w:val="000000"/>
          <w:sz w:val="21"/>
        </w:rPr>
        <w:lastRenderedPageBreak/>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16. Limitation of Liability.</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17. Interpretation of Sections 15 and 16.</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END OF TERMS AND CONDITIONS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How to Apply These Terms to Your New Programs</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If you develop a new program, and you want it to be of the greatest possible use to the public, the best way to achieve this is to make it free software which everyone can redistribute and change under these terms.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 xml:space="preserve">    &lt;one line to give the program's name and a brief idea of what it does.&gt;</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 xml:space="preserve">    Copyright (C) &lt;year&gt;  &lt;name of author&gt;</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 xml:space="preserve">    This program is free software: you can redistribute it and/or modify</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 xml:space="preserve">    it under the terms of the GNU General Public License as published by</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 xml:space="preserve">    the Free Software Foundation, either version 3 of the License, or</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 xml:space="preserve">    (at your option) any later version.</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 xml:space="preserve">    This program is distributed in the hope that it will be useful,</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 xml:space="preserve">    but WITHOUT ANY WARRANTY; without even the implied warranty of</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 xml:space="preserve">    MERCHANTABILITY or FITNESS FOR A PARTICULAR PURPOSE.  See the</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 xml:space="preserve">    GNU General Public License for more details.</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 xml:space="preserve">    You should have received a copy of the GNU General Public License</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 xml:space="preserve">    along with this program.  If not, see &lt;https://www.gnu.org/licenses/&gt;.</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Also add information on how to contact you by electronic and paper mail.</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If the program does terminal interaction, make it output a short notice like this when it starts in an interactive mode:</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 xml:space="preserve">    &lt;program&gt;  Copyright (C) &lt;year&gt;  &lt;name of author&gt;</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 xml:space="preserve">    This program comes with ABSOLUTELY NO WARRANTY; for details type `show w'.</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lastRenderedPageBreak/>
        <w:t xml:space="preserve">    This is free software, and you are welcome to redistribute it</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 xml:space="preserve">    under certain conditions; type `show c' for details.</w:t>
      </w: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The hypothetical commands `show w' and `show c' should show the appropriate parts of the General Public License. Of course, your program's commands might be different; for a GUI interface, you would use an “about box”.</w:t>
      </w:r>
    </w:p>
    <w:p w:rsidR="003B7E77" w:rsidRPr="006D195D" w:rsidRDefault="003B7E77" w:rsidP="003B7E77">
      <w:pPr>
        <w:pStyle w:val="ae"/>
        <w:rPr>
          <w:rFonts w:ascii="Times New Roman" w:hAnsi="Times New Roman" w:cs="Arial"/>
          <w:color w:val="000000"/>
          <w:sz w:val="21"/>
        </w:rPr>
      </w:pPr>
    </w:p>
    <w:p w:rsidR="003B7E77" w:rsidRPr="006D195D" w:rsidRDefault="003B7E77" w:rsidP="003B7E77">
      <w:pPr>
        <w:pStyle w:val="ae"/>
        <w:rPr>
          <w:rFonts w:ascii="Times New Roman" w:hAnsi="Times New Roman" w:cs="Arial"/>
          <w:color w:val="000000"/>
          <w:sz w:val="21"/>
        </w:rPr>
      </w:pPr>
      <w:r w:rsidRPr="006D195D">
        <w:rPr>
          <w:rFonts w:ascii="Times New Roman" w:hAnsi="Times New Roman" w:cs="Arial"/>
          <w:color w:val="000000"/>
          <w:sz w:val="21"/>
        </w:rPr>
        <w:t>You should also get your employer (if you work as a programmer) or school, if any, to sign a “copyright disclaimer” for the program, if necessary. For more information on this, and how to apply and follow the GNU GPL, see &lt;https://www.gnu.org/licenses/&gt;.</w:t>
      </w:r>
    </w:p>
    <w:p w:rsidR="003B7E77" w:rsidRPr="006D195D" w:rsidRDefault="003B7E77" w:rsidP="003B7E77">
      <w:pPr>
        <w:pStyle w:val="ae"/>
        <w:rPr>
          <w:rFonts w:ascii="Times New Roman" w:hAnsi="Times New Roman" w:cs="Arial"/>
          <w:color w:val="000000"/>
          <w:sz w:val="21"/>
        </w:rPr>
      </w:pPr>
    </w:p>
    <w:p w:rsidR="00DE7330" w:rsidRPr="00736B4C" w:rsidRDefault="003B7E77" w:rsidP="00736B4C">
      <w:pPr>
        <w:pStyle w:val="ae"/>
        <w:rPr>
          <w:rFonts w:ascii="Times New Roman" w:hAnsi="Times New Roman" w:cs="Arial"/>
          <w:color w:val="000000"/>
          <w:sz w:val="21"/>
        </w:rPr>
      </w:pPr>
      <w:r w:rsidRPr="006D195D">
        <w:rPr>
          <w:rFonts w:ascii="Times New Roman" w:hAnsi="Times New Roman" w:cs="Arial"/>
          <w:color w:val="000000"/>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bookmarkStart w:id="0" w:name="_GoBack"/>
      <w:bookmarkEnd w:id="0"/>
    </w:p>
    <w:p w:rsidR="00DE7330" w:rsidRDefault="007301C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E7330" w:rsidRDefault="007301CE">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DE7330" w:rsidRDefault="007301CE">
      <w:pPr>
        <w:rPr>
          <w:rFonts w:ascii="Arial" w:hAnsi="Arial" w:cs="Arial"/>
          <w:color w:val="0000FF"/>
          <w:u w:val="single"/>
        </w:rPr>
      </w:pPr>
      <w:r>
        <w:rPr>
          <w:rFonts w:ascii="Arial" w:hAnsi="Arial" w:cs="Arial" w:hint="eastAsia"/>
          <w:color w:val="0000FF"/>
          <w:u w:val="single"/>
        </w:rPr>
        <w:t>foss@huawei.com</w:t>
      </w:r>
    </w:p>
    <w:p w:rsidR="00DE7330" w:rsidRDefault="007301CE">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DE7330" w:rsidRDefault="007301C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E7330" w:rsidRDefault="007301CE">
      <w:pPr>
        <w:rPr>
          <w:rFonts w:ascii="Arial" w:hAnsi="Arial" w:cs="Arial"/>
          <w:color w:val="000000"/>
        </w:rPr>
      </w:pPr>
      <w:r>
        <w:rPr>
          <w:rFonts w:ascii="Arial" w:hAnsi="Arial" w:cs="Arial"/>
          <w:color w:val="000000"/>
        </w:rPr>
        <w:t>This offer is valid to anyone in receipt of this information.</w:t>
      </w:r>
    </w:p>
    <w:p w:rsidR="00DE7330" w:rsidRDefault="007301CE">
      <w:pPr>
        <w:rPr>
          <w:b/>
          <w:caps/>
        </w:rPr>
      </w:pPr>
      <w:r>
        <w:rPr>
          <w:b/>
          <w:caps/>
        </w:rPr>
        <w:t xml:space="preserve">This offer is valid for three years from the moment we distributed the product or firmware </w:t>
      </w:r>
      <w:r>
        <w:rPr>
          <w:rFonts w:hint="eastAsia"/>
          <w:b/>
          <w:caps/>
        </w:rPr>
        <w:t>.</w:t>
      </w:r>
      <w:bookmarkEnd w:id="1"/>
      <w:bookmarkEnd w:id="2"/>
    </w:p>
    <w:sectPr w:rsidR="00DE7330">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DA3" w:rsidRDefault="00EB7DA3">
      <w:pPr>
        <w:spacing w:line="240" w:lineRule="auto"/>
      </w:pPr>
      <w:r>
        <w:separator/>
      </w:r>
    </w:p>
  </w:endnote>
  <w:endnote w:type="continuationSeparator" w:id="0">
    <w:p w:rsidR="00EB7DA3" w:rsidRDefault="00EB7D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E7330">
      <w:tc>
        <w:tcPr>
          <w:tcW w:w="1542" w:type="pct"/>
        </w:tcPr>
        <w:p w:rsidR="00DE7330" w:rsidRDefault="007301CE">
          <w:pPr>
            <w:pStyle w:val="a6"/>
          </w:pPr>
          <w:r>
            <w:fldChar w:fldCharType="begin"/>
          </w:r>
          <w:r>
            <w:instrText xml:space="preserve"> DATE \@ "yyyy-MM-dd" </w:instrText>
          </w:r>
          <w:r>
            <w:fldChar w:fldCharType="separate"/>
          </w:r>
          <w:r w:rsidR="003B7E77">
            <w:rPr>
              <w:noProof/>
            </w:rPr>
            <w:t>2022-09-05</w:t>
          </w:r>
          <w:r>
            <w:fldChar w:fldCharType="end"/>
          </w:r>
        </w:p>
      </w:tc>
      <w:tc>
        <w:tcPr>
          <w:tcW w:w="1853" w:type="pct"/>
        </w:tcPr>
        <w:p w:rsidR="00DE7330" w:rsidRDefault="007301CE">
          <w:pPr>
            <w:pStyle w:val="a6"/>
            <w:ind w:firstLineChars="200" w:firstLine="360"/>
          </w:pPr>
          <w:r>
            <w:rPr>
              <w:rFonts w:hint="eastAsia"/>
            </w:rPr>
            <w:t>HUAWEI Confidential</w:t>
          </w:r>
        </w:p>
      </w:tc>
      <w:tc>
        <w:tcPr>
          <w:tcW w:w="1605" w:type="pct"/>
        </w:tcPr>
        <w:p w:rsidR="00DE7330" w:rsidRDefault="007301CE">
          <w:pPr>
            <w:pStyle w:val="a6"/>
            <w:ind w:firstLine="360"/>
            <w:jc w:val="right"/>
          </w:pPr>
          <w:r>
            <w:t>Page</w:t>
          </w:r>
          <w:r>
            <w:fldChar w:fldCharType="begin"/>
          </w:r>
          <w:r>
            <w:instrText>PAGE</w:instrText>
          </w:r>
          <w:r>
            <w:fldChar w:fldCharType="separate"/>
          </w:r>
          <w:r w:rsidR="00736B4C">
            <w:rPr>
              <w:noProof/>
            </w:rPr>
            <w:t>17</w:t>
          </w:r>
          <w:r>
            <w:fldChar w:fldCharType="end"/>
          </w:r>
          <w:r>
            <w:t>, Total</w:t>
          </w:r>
          <w:fldSimple w:instr=" NUMPAGES  \* Arabic  \* MERGEFORMAT ">
            <w:r w:rsidR="00736B4C">
              <w:rPr>
                <w:noProof/>
              </w:rPr>
              <w:t>17</w:t>
            </w:r>
          </w:fldSimple>
        </w:p>
      </w:tc>
    </w:tr>
  </w:tbl>
  <w:p w:rsidR="00DE7330" w:rsidRDefault="00DE73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DA3" w:rsidRDefault="00EB7DA3">
      <w:r>
        <w:separator/>
      </w:r>
    </w:p>
  </w:footnote>
  <w:footnote w:type="continuationSeparator" w:id="0">
    <w:p w:rsidR="00EB7DA3" w:rsidRDefault="00EB7D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E7330">
      <w:trPr>
        <w:cantSplit/>
        <w:trHeight w:hRule="exact" w:val="777"/>
      </w:trPr>
      <w:tc>
        <w:tcPr>
          <w:tcW w:w="492" w:type="pct"/>
          <w:tcBorders>
            <w:bottom w:val="single" w:sz="6" w:space="0" w:color="auto"/>
          </w:tcBorders>
        </w:tcPr>
        <w:p w:rsidR="00DE7330" w:rsidRDefault="007301C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E7330" w:rsidRDefault="00DE7330">
          <w:pPr>
            <w:ind w:left="420"/>
          </w:pPr>
        </w:p>
      </w:tc>
      <w:tc>
        <w:tcPr>
          <w:tcW w:w="3283" w:type="pct"/>
          <w:tcBorders>
            <w:bottom w:val="single" w:sz="6" w:space="0" w:color="auto"/>
          </w:tcBorders>
          <w:vAlign w:val="bottom"/>
        </w:tcPr>
        <w:p w:rsidR="00DE7330" w:rsidRDefault="007301CE">
          <w:pPr>
            <w:pStyle w:val="a7"/>
            <w:ind w:firstLine="360"/>
          </w:pPr>
          <w:r>
            <w:t>OPEN SOURCE SOFTWARE NOTICE</w:t>
          </w:r>
        </w:p>
      </w:tc>
      <w:tc>
        <w:tcPr>
          <w:tcW w:w="1225" w:type="pct"/>
          <w:tcBorders>
            <w:bottom w:val="single" w:sz="6" w:space="0" w:color="auto"/>
          </w:tcBorders>
          <w:vAlign w:val="bottom"/>
        </w:tcPr>
        <w:p w:rsidR="00DE7330" w:rsidRDefault="00DE7330">
          <w:pPr>
            <w:pStyle w:val="a7"/>
            <w:ind w:firstLine="33"/>
          </w:pPr>
        </w:p>
      </w:tc>
    </w:tr>
  </w:tbl>
  <w:p w:rsidR="00DE7330" w:rsidRDefault="00DE733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E20FF0"/>
    <w:multiLevelType w:val="multilevel"/>
    <w:tmpl w:val="2E92E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E45178C"/>
    <w:multiLevelType w:val="multilevel"/>
    <w:tmpl w:val="18027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F67DA3"/>
    <w:multiLevelType w:val="multilevel"/>
    <w:tmpl w:val="6854B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7DB2"/>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7E77"/>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01CE"/>
    <w:rsid w:val="00736B4C"/>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7330"/>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7DA3"/>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EC0528-1B83-44DC-B10D-FDF3928FE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3">
    <w:name w:val="heading 3"/>
    <w:basedOn w:val="a"/>
    <w:next w:val="a"/>
    <w:link w:val="3Char"/>
    <w:semiHidden/>
    <w:unhideWhenUsed/>
    <w:qFormat/>
    <w:rsid w:val="00057DB2"/>
    <w:pPr>
      <w:keepNext/>
      <w:keepLines/>
      <w:spacing w:before="260" w:after="260" w:line="416" w:lineRule="auto"/>
      <w:outlineLvl w:val="2"/>
    </w:pPr>
    <w:rPr>
      <w:b/>
      <w:bCs/>
      <w:sz w:val="32"/>
      <w:szCs w:val="32"/>
    </w:rPr>
  </w:style>
  <w:style w:type="paragraph" w:styleId="4">
    <w:name w:val="heading 4"/>
    <w:basedOn w:val="a"/>
    <w:next w:val="a"/>
    <w:link w:val="4Char"/>
    <w:semiHidden/>
    <w:unhideWhenUsed/>
    <w:qFormat/>
    <w:rsid w:val="00057DB2"/>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semiHidden/>
    <w:unhideWhenUsed/>
    <w:qFormat/>
    <w:rsid w:val="00057DB2"/>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uiPriority w:val="99"/>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3Char">
    <w:name w:val="标题 3 Char"/>
    <w:basedOn w:val="a0"/>
    <w:link w:val="3"/>
    <w:semiHidden/>
    <w:rsid w:val="00057DB2"/>
    <w:rPr>
      <w:b/>
      <w:bCs/>
      <w:snapToGrid w:val="0"/>
      <w:sz w:val="32"/>
      <w:szCs w:val="32"/>
    </w:rPr>
  </w:style>
  <w:style w:type="character" w:customStyle="1" w:styleId="4Char">
    <w:name w:val="标题 4 Char"/>
    <w:basedOn w:val="a0"/>
    <w:link w:val="4"/>
    <w:semiHidden/>
    <w:rsid w:val="00057DB2"/>
    <w:rPr>
      <w:rFonts w:asciiTheme="majorHAnsi" w:eastAsiaTheme="majorEastAsia" w:hAnsiTheme="majorHAnsi" w:cstheme="majorBidi"/>
      <w:b/>
      <w:bCs/>
      <w:snapToGrid w:val="0"/>
      <w:sz w:val="28"/>
      <w:szCs w:val="28"/>
    </w:rPr>
  </w:style>
  <w:style w:type="character" w:customStyle="1" w:styleId="5Char">
    <w:name w:val="标题 5 Char"/>
    <w:basedOn w:val="a0"/>
    <w:link w:val="5"/>
    <w:semiHidden/>
    <w:rsid w:val="00057DB2"/>
    <w:rPr>
      <w:b/>
      <w:bCs/>
      <w:snapToGrid w:val="0"/>
      <w:sz w:val="28"/>
      <w:szCs w:val="28"/>
    </w:rPr>
  </w:style>
  <w:style w:type="paragraph" w:styleId="ae">
    <w:name w:val="Normal (Web)"/>
    <w:basedOn w:val="a"/>
    <w:uiPriority w:val="99"/>
    <w:unhideWhenUsed/>
    <w:rsid w:val="00057DB2"/>
    <w:pPr>
      <w:widowControl/>
      <w:autoSpaceDE/>
      <w:autoSpaceDN/>
      <w:adjustRightInd/>
      <w:spacing w:before="100" w:beforeAutospacing="1" w:after="100" w:afterAutospacing="1" w:line="240" w:lineRule="auto"/>
    </w:pPr>
    <w:rPr>
      <w:rFonts w:ascii="宋体" w:hAnsi="宋体" w:cs="宋体"/>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5562</Words>
  <Characters>31710</Characters>
  <Application>Microsoft Office Word</Application>
  <DocSecurity>0</DocSecurity>
  <Lines>264</Lines>
  <Paragraphs>74</Paragraphs>
  <ScaleCrop>false</ScaleCrop>
  <Company>Huawei Technologies Co.,Ltd.</Company>
  <LinksUpToDate>false</LinksUpToDate>
  <CharactersWithSpaces>37198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2022-09-05T02:37:00Z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(3)kCFeIQEU+6KAGrxhMgSqyGRoIVARa/OUx0XnAHZzjgbEVHNzmT1hhrB6fA0pvRCmkQl6MM8I
bIhsC9ghFbRRvH8xQmOOZI3M8nuMkcAqFtQgkWrwD8dLzZQbWtUJumj0l9Uj8nh7IuVRSm3P
0z1sh2LUYOYSZzsAPyc5lWLN02XRb6RjDMrm5Tqt+6J7NoS8ytCZ8f/C75YqLRpd9JVMgT5X
Bogb8W7sIW105ba6MB</vt:lpwstr>
  </property>
  <property fmtid="{D5CDD505-2E9C-101B-9397-08002B2CF9AE}" pid="11" name="_2015_ms_pID_7253431">
    <vt:lpwstr>b8TK5theQeM0/3SQRxOQ9k6tfd9g0gocIWSFMci5+UPY3cDI0x/u0Z
qPsAkiT2b+qEXFoc1JYmVg4Jg8l8M/3SuZf7rqQHbB8CdjaQ25iRTIcRDRT7tDBzdPgR1bzY
YGkUTAwtilRgI4kTDI7CfX9iFg9Rc7y8ZMqNwRAn74JQTDm/gXVNY/zUR8gxtelIpjL9E7lK
kjVwhmsROl3DBnKpHV5tL9ZBqUsfJtj7GTBw</vt:lpwstr>
  </property>
  <property fmtid="{D5CDD505-2E9C-101B-9397-08002B2CF9AE}" pid="12" name="_2015_ms_pID_7253432">
    <vt:lpwstr>XYl0SpsszfsJ+LulmBELbyM+9RvwNvCukbLd
8PmbOGnyI6RUinUAUaVzeCYodHmw/y89mtjqEm9mz9vT0C5cd54=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