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110" w:rsidRDefault="00823A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3110" w:rsidRDefault="00013110">
      <w:pPr>
        <w:spacing w:line="420" w:lineRule="exact"/>
        <w:jc w:val="center"/>
        <w:rPr>
          <w:rFonts w:ascii="Arial" w:hAnsi="Arial" w:cs="Arial"/>
          <w:b/>
          <w:snapToGrid/>
          <w:sz w:val="32"/>
          <w:szCs w:val="32"/>
        </w:rPr>
      </w:pPr>
    </w:p>
    <w:p w:rsidR="00013110" w:rsidRDefault="00823A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3110" w:rsidRDefault="00013110">
      <w:pPr>
        <w:spacing w:line="420" w:lineRule="exact"/>
        <w:jc w:val="both"/>
        <w:rPr>
          <w:rFonts w:ascii="Arial" w:hAnsi="Arial" w:cs="Arial"/>
          <w:snapToGrid/>
        </w:rPr>
      </w:pPr>
    </w:p>
    <w:p w:rsidR="00013110" w:rsidRDefault="00823A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3110" w:rsidRDefault="00823A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3110" w:rsidRDefault="00013110">
      <w:pPr>
        <w:spacing w:line="420" w:lineRule="exact"/>
        <w:jc w:val="both"/>
        <w:rPr>
          <w:rFonts w:ascii="Arial" w:hAnsi="Arial" w:cs="Arial"/>
          <w:i/>
          <w:snapToGrid/>
          <w:color w:val="0099FF"/>
          <w:sz w:val="18"/>
          <w:szCs w:val="18"/>
        </w:rPr>
      </w:pPr>
    </w:p>
    <w:p w:rsidR="00013110" w:rsidRDefault="00823A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3110" w:rsidRDefault="00013110">
      <w:pPr>
        <w:pStyle w:val="a8"/>
        <w:spacing w:before="0" w:after="0" w:line="240" w:lineRule="auto"/>
        <w:jc w:val="left"/>
        <w:rPr>
          <w:rFonts w:ascii="Arial" w:hAnsi="Arial" w:cs="Arial"/>
          <w:bCs w:val="0"/>
          <w:sz w:val="21"/>
          <w:szCs w:val="21"/>
        </w:rPr>
      </w:pPr>
    </w:p>
    <w:p w:rsidR="00013110" w:rsidRDefault="00823A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python-hypothesis 6.47.0</w:t>
      </w:r>
    </w:p>
    <w:p w:rsidR="00013110" w:rsidRDefault="00823A77">
      <w:pPr>
        <w:rPr>
          <w:rFonts w:ascii="Arial" w:hAnsi="Arial" w:cs="Arial"/>
          <w:b/>
        </w:rPr>
      </w:pPr>
      <w:r>
        <w:rPr>
          <w:rFonts w:ascii="Arial" w:hAnsi="Arial" w:cs="Arial"/>
          <w:b/>
        </w:rPr>
        <w:t xml:space="preserve">Copyright notice: </w:t>
      </w:r>
    </w:p>
    <w:p w:rsidR="00013110" w:rsidRDefault="00823A77">
      <w:pPr>
        <w:pStyle w:val="Default"/>
        <w:rPr>
          <w:rFonts w:ascii="宋体" w:hAnsi="宋体" w:cs="宋体"/>
          <w:sz w:val="22"/>
          <w:szCs w:val="22"/>
        </w:rPr>
      </w:pPr>
      <w:r>
        <w:rPr>
          <w:rFonts w:ascii="宋体" w:hAnsi="宋体"/>
          <w:sz w:val="22"/>
        </w:rPr>
        <w:t xml:space="preserve">Copyright (c) 2008-2014,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t>Copyright (c) 2001-2007, Fernando Perez &lt;fernando.perez@colorado.edu&gt;</w:t>
      </w:r>
      <w:r>
        <w:rPr>
          <w:rFonts w:ascii="宋体" w:hAnsi="宋体"/>
          <w:sz w:val="22"/>
        </w:rPr>
        <w:br/>
        <w:t>Copyright (c) [2015] [</w:t>
      </w:r>
      <w:proofErr w:type="spellStart"/>
      <w:r>
        <w:rPr>
          <w:rFonts w:ascii="宋体" w:hAnsi="宋体"/>
          <w:sz w:val="22"/>
        </w:rPr>
        <w:t>Moinul</w:t>
      </w:r>
      <w:proofErr w:type="spellEnd"/>
      <w:r>
        <w:rPr>
          <w:rFonts w:ascii="宋体" w:hAnsi="宋体"/>
          <w:sz w:val="22"/>
        </w:rPr>
        <w:t xml:space="preserve"> Hossain]</w:t>
      </w:r>
      <w:r>
        <w:rPr>
          <w:rFonts w:ascii="宋体" w:hAnsi="宋体"/>
          <w:sz w:val="22"/>
        </w:rPr>
        <w:br/>
        <w:t>Copyright (c) 2018, David R. MacIver</w:t>
      </w:r>
      <w:r>
        <w:rPr>
          <w:rFonts w:ascii="宋体" w:hAnsi="宋体"/>
          <w:sz w:val="22"/>
        </w:rPr>
        <w:br/>
        <w:t>Copyright (c) 2001, Nathaniel Gray &lt;n8gray@caltech.edu&gt;</w:t>
      </w:r>
      <w:r>
        <w:rPr>
          <w:rFonts w:ascii="宋体" w:hAnsi="宋体"/>
          <w:sz w:val="22"/>
        </w:rPr>
        <w:br/>
        <w:t>Copy</w:t>
      </w:r>
      <w:r>
        <w:rPr>
          <w:rFonts w:ascii="宋体" w:hAnsi="宋体"/>
          <w:sz w:val="22"/>
        </w:rPr>
        <w:t xml:space="preserve">right (c) 2001, </w:t>
      </w:r>
      <w:proofErr w:type="spellStart"/>
      <w:r>
        <w:rPr>
          <w:rFonts w:ascii="宋体" w:hAnsi="宋体"/>
          <w:sz w:val="22"/>
        </w:rPr>
        <w:t>Jan</w:t>
      </w:r>
      <w:r w:rsidR="00695616">
        <w:rPr>
          <w:rFonts w:ascii="宋体" w:hAnsi="宋体"/>
          <w:sz w:val="22"/>
        </w:rPr>
        <w:t>ko</w:t>
      </w:r>
      <w:proofErr w:type="spellEnd"/>
      <w:r w:rsidR="00695616">
        <w:rPr>
          <w:rFonts w:ascii="宋体" w:hAnsi="宋体"/>
          <w:sz w:val="22"/>
        </w:rPr>
        <w:t xml:space="preserve"> Hauser &lt;jhauser@zscout.de&gt;</w:t>
      </w:r>
      <w:r w:rsidR="00695616">
        <w:rPr>
          <w:rFonts w:ascii="宋体" w:hAnsi="宋体"/>
          <w:sz w:val="22"/>
        </w:rPr>
        <w:br/>
      </w:r>
      <w:bookmarkStart w:id="0" w:name="_GoBack"/>
      <w:bookmarkEnd w:id="0"/>
      <w:r>
        <w:rPr>
          <w:rFonts w:ascii="宋体" w:hAnsi="宋体"/>
          <w:sz w:val="22"/>
        </w:rPr>
        <w:t>Copyright (c) 2013, David R. MacIver</w:t>
      </w:r>
      <w:r>
        <w:rPr>
          <w:rFonts w:ascii="宋体" w:hAnsi="宋体"/>
          <w:sz w:val="22"/>
        </w:rPr>
        <w:br/>
      </w:r>
    </w:p>
    <w:p w:rsidR="00013110" w:rsidRDefault="00823A77">
      <w:pPr>
        <w:pStyle w:val="Default"/>
        <w:rPr>
          <w:rFonts w:ascii="宋体" w:hAnsi="宋体" w:cs="宋体"/>
          <w:sz w:val="22"/>
          <w:szCs w:val="22"/>
        </w:rPr>
      </w:pPr>
      <w:r>
        <w:rPr>
          <w:b/>
        </w:rPr>
        <w:t xml:space="preserve">License: </w:t>
      </w:r>
      <w:r>
        <w:rPr>
          <w:sz w:val="21"/>
        </w:rPr>
        <w:t>MPLv2.0</w:t>
      </w:r>
    </w:p>
    <w:p w:rsidR="00013110" w:rsidRDefault="00823A77">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 xml:space="preserve">1.1. </w:t>
      </w:r>
      <w:r>
        <w:rPr>
          <w:rFonts w:ascii="Times New Roman" w:hAnsi="Times New Roman"/>
          <w:sz w:val="21"/>
        </w:rPr>
        <w:t>“Contributor”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 xml:space="preserve">means the combination of the Contributions of others (if any) used by a Contributor and that particular </w:t>
      </w:r>
      <w:r>
        <w:rPr>
          <w:rFonts w:ascii="Times New Roman" w:hAnsi="Times New Roman"/>
          <w:sz w:val="21"/>
        </w:rPr>
        <w:lastRenderedPageBreak/>
        <w:t>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w:t>
      </w:r>
      <w:r>
        <w:rPr>
          <w:rFonts w:ascii="Times New Roman" w:hAnsi="Times New Roman"/>
          <w:sz w:val="21"/>
        </w:rPr>
        <w:t>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w:t>
      </w:r>
      <w:r>
        <w:rPr>
          <w:rFonts w:ascii="Times New Roman" w:hAnsi="Times New Roman"/>
          <w:sz w:val="21"/>
        </w:rPr>
        <w:t xml:space="preserve">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w:t>
      </w:r>
      <w:r>
        <w:rPr>
          <w:rFonts w:ascii="Times New Roman" w:hAnsi="Times New Roman"/>
          <w:sz w:val="21"/>
        </w:rPr>
        <w:t xml:space="preserve">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 xml:space="preserve">means having the right to grant, to the maximum extent possible, whether at the </w:t>
      </w:r>
      <w:r>
        <w:rPr>
          <w:rFonts w:ascii="Times New Roman" w:hAnsi="Times New Roman"/>
          <w:sz w:val="21"/>
        </w:rPr>
        <w:t>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 file in Source Code Form that results from an addition to, deletion from, or modification of the contents</w:t>
      </w:r>
      <w:r>
        <w:rPr>
          <w:rFonts w:ascii="Times New Roman" w:hAnsi="Times New Roman"/>
          <w:sz w:val="21"/>
        </w:rPr>
        <w:t xml:space="preserve">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 xml:space="preserve">means any patent claim(s), including without limitation, method, process, and apparatus claims, in any patent Licensable </w:t>
      </w:r>
      <w:r>
        <w:rPr>
          <w:rFonts w:ascii="Times New Roman" w:hAnsi="Times New Roman"/>
          <w:sz w:val="21"/>
        </w:rPr>
        <w:t xml:space="preserve">by such Contributor that would be infringed, but for the grant of the License, by the making, using, </w:t>
      </w:r>
      <w:r>
        <w:rPr>
          <w:rFonts w:ascii="Times New Roman" w:hAnsi="Times New Roman"/>
          <w:sz w:val="21"/>
        </w:rPr>
        <w:lastRenderedPageBreak/>
        <w:t>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w:t>
      </w:r>
      <w:r>
        <w:rPr>
          <w:rFonts w:ascii="Times New Roman" w:hAnsi="Times New Roman"/>
          <w:sz w:val="21"/>
        </w:rPr>
        <w:t xml:space="preserv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w:t>
      </w:r>
      <w:r>
        <w:rPr>
          <w:rFonts w:ascii="Times New Roman" w:hAnsi="Times New Roman"/>
          <w:sz w:val="21"/>
        </w:rPr>
        <w:t>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 xml:space="preserve">means an individual or a legal entity exercising rights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w:t>
      </w:r>
      <w:r>
        <w:rPr>
          <w:rFonts w:ascii="Times New Roman" w:hAnsi="Times New Roman"/>
          <w:sz w:val="21"/>
        </w:rPr>
        <w:t>f this definition, “control” means (a) the power, direct or indirect, to cause the direction or management of such entity, whether by contract or otherwise, or (b) ownership of more than fifty percent (50%) of the outstanding shares or beneficial ownership</w:t>
      </w:r>
      <w:r>
        <w:rPr>
          <w:rFonts w:ascii="Times New Roman" w:hAnsi="Times New Roman"/>
          <w:sz w:val="21"/>
        </w:rPr>
        <w:t xml:space="preserve">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w:t>
      </w:r>
      <w:r>
        <w:rPr>
          <w:rFonts w:ascii="Times New Roman" w:hAnsi="Times New Roman"/>
          <w:sz w:val="21"/>
        </w:rPr>
        <w:t xml:space="preserv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w:t>
      </w:r>
      <w:r>
        <w:rPr>
          <w:rFonts w:ascii="Times New Roman" w:hAnsi="Times New Roman"/>
          <w:sz w:val="21"/>
        </w:rPr>
        <w:t>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the Cont</w:t>
      </w:r>
      <w:r>
        <w:rPr>
          <w:rFonts w:ascii="Times New Roman" w:hAnsi="Times New Roman"/>
          <w:sz w:val="21"/>
        </w:rPr>
        <w: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 will be implied from the distribution or licensing of Cove</w:t>
      </w:r>
      <w:r>
        <w:rPr>
          <w:rFonts w:ascii="Times New Roman" w:hAnsi="Times New Roman"/>
          <w:sz w:val="21"/>
        </w:rPr>
        <w:t>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xml:space="preserve">) Your and any other third party’s </w:t>
      </w:r>
      <w:r>
        <w:rPr>
          <w:rFonts w:ascii="Times New Roman" w:hAnsi="Times New Roman"/>
          <w:sz w:val="21"/>
        </w:rPr>
        <w:t>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lastRenderedPageBreak/>
        <w:br/>
        <w:t>This License does n</w:t>
      </w:r>
      <w:r>
        <w:rPr>
          <w:rFonts w:ascii="Times New Roman" w:hAnsi="Times New Roman"/>
          <w:sz w:val="21"/>
        </w:rPr>
        <w:t>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w:t>
      </w:r>
      <w:r>
        <w:rPr>
          <w:rFonts w:ascii="Times New Roman" w:hAnsi="Times New Roman"/>
          <w:sz w:val="21"/>
        </w:rPr>
        <w:t>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w:t>
      </w:r>
      <w:r>
        <w:rPr>
          <w:rFonts w:ascii="Times New Roman" w:hAnsi="Times New Roman"/>
          <w:sz w:val="21"/>
        </w:rPr>
        <w:t>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w:t>
      </w:r>
      <w:r>
        <w:rPr>
          <w:rFonts w:ascii="Times New Roman" w:hAnsi="Times New Roman"/>
          <w:sz w:val="21"/>
        </w:rPr>
        <w:t>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w:t>
      </w:r>
      <w:r>
        <w:rPr>
          <w:rFonts w:ascii="Times New Roman" w:hAnsi="Times New Roman"/>
          <w:sz w:val="21"/>
        </w:rPr>
        <w:t xml:space="preserve">urce Code Form, including any Modifications that You create or to which You contribute, must be under the terms of this License. You must inform recipients that the Source Code Form of the Covered Software is governed by the terms of this License, and how </w:t>
      </w:r>
      <w:r>
        <w:rPr>
          <w:rFonts w:ascii="Times New Roman" w:hAnsi="Times New Roman"/>
          <w:sz w:val="21"/>
        </w:rPr>
        <w:t>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w:t>
      </w:r>
      <w:r>
        <w:rPr>
          <w:rFonts w:ascii="Times New Roman" w:hAnsi="Times New Roman"/>
          <w:sz w:val="21"/>
        </w:rPr>
        <w:t>lso be made available in Source Code Form, as described in Section 3.1, and You must inform recipients of the Executable Form how they can obtain a copy of such Source Code Form by reasonable means in a timely manner, at a charge no more than the cost of d</w:t>
      </w:r>
      <w:r>
        <w:rPr>
          <w:rFonts w:ascii="Times New Roman" w:hAnsi="Times New Roman"/>
          <w:sz w:val="21"/>
        </w:rPr>
        <w:t>istribution to the recipient; and</w:t>
      </w:r>
      <w:r>
        <w:rPr>
          <w:rFonts w:ascii="Times New Roman" w:hAnsi="Times New Roman"/>
          <w:sz w:val="21"/>
        </w:rPr>
        <w:br/>
      </w:r>
      <w:r>
        <w:rPr>
          <w:rFonts w:ascii="Times New Roman" w:hAnsi="Times New Roman"/>
          <w:sz w:val="21"/>
        </w:rPr>
        <w:br/>
        <w:t xml:space="preserve">You may distribute such Executable Form under the terms of this License, or sublicense it under different terms, provided that the license for the Executable Form does not attempt to limit or alter the recipients’ rights </w:t>
      </w:r>
      <w:r>
        <w:rPr>
          <w:rFonts w:ascii="Times New Roman" w:hAnsi="Times New Roman"/>
          <w:sz w:val="21"/>
        </w:rPr>
        <w:t>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w:t>
      </w:r>
      <w:r>
        <w:rPr>
          <w:rFonts w:ascii="Times New Roman" w:hAnsi="Times New Roman"/>
          <w:sz w:val="21"/>
        </w:rPr>
        <w:t xml:space="preserve">ger Work is a combination of Covered Software with a work governed by one or more Secondary Licenses, and the Covered Software is not Incompatible With </w:t>
      </w:r>
      <w:r>
        <w:rPr>
          <w:rFonts w:ascii="Times New Roman" w:hAnsi="Times New Roman"/>
          <w:sz w:val="21"/>
        </w:rPr>
        <w:lastRenderedPageBreak/>
        <w:t xml:space="preserve">Secondary Licenses, this License permits You to additionally distribute such Covered Software under the </w:t>
      </w:r>
      <w:r>
        <w:rPr>
          <w:rFonts w:ascii="Times New Roman" w:hAnsi="Times New Roman"/>
          <w:sz w:val="21"/>
        </w:rPr>
        <w:t>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w:t>
      </w:r>
      <w:r>
        <w:rPr>
          <w:rFonts w:ascii="Times New Roman" w:hAnsi="Times New Roman"/>
          <w:sz w:val="21"/>
        </w:rPr>
        <w:t>bstance of any license notices (including copyright notices, patent notices, disclaimers of warranty, or limitations of liability) contained within the Source Code Form of the Covered Software, except that You may alter any license notices to the extent re</w:t>
      </w:r>
      <w:r>
        <w:rPr>
          <w:rFonts w:ascii="Times New Roman" w:hAnsi="Times New Roman"/>
          <w:sz w:val="21"/>
        </w:rPr>
        <w:t>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w:t>
      </w:r>
      <w:r>
        <w:rPr>
          <w:rFonts w:ascii="Times New Roman" w:hAnsi="Times New Roman"/>
          <w:sz w:val="21"/>
        </w:rPr>
        <w:t xml:space="preserve"> only on Your own behalf, and not on behalf of any Contributor.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w:t>
      </w:r>
      <w:r>
        <w:rPr>
          <w:rFonts w:ascii="Times New Roman" w:hAnsi="Times New Roman"/>
          <w:sz w:val="21"/>
        </w:rPr>
        <w:t>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w:t>
      </w:r>
      <w:r>
        <w:rPr>
          <w:rFonts w:ascii="Times New Roman" w:hAnsi="Times New Roman"/>
          <w:sz w:val="21"/>
        </w:rPr>
        <w:t xml:space="preserv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w:t>
      </w:r>
      <w:r>
        <w:rPr>
          <w:rFonts w:ascii="Times New Roman" w:hAnsi="Times New Roman"/>
          <w:sz w:val="21"/>
        </w:rPr>
        <w:t>imum extent possible; and (b) describe the limitations and the code they affect. Such description must be placed in a text file included with all distributions of the Covered Software under this License. Except to the extent prohibited by statute or regula</w:t>
      </w:r>
      <w:r>
        <w:rPr>
          <w:rFonts w:ascii="Times New Roman" w:hAnsi="Times New Roman"/>
          <w:sz w:val="21"/>
        </w:rPr>
        <w:t>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w:t>
      </w:r>
      <w:r>
        <w:rPr>
          <w:rFonts w:ascii="Times New Roman" w:hAnsi="Times New Roman"/>
          <w:sz w:val="21"/>
        </w:rPr>
        <w:t>, if You become compliant, then the rights granted under this License from a particular Contributor are reinstated (a) provisionally, unless and until such Contributor explicitly and finally terminates Your grants, and (b) on an ongoing basis, if such Cont</w:t>
      </w:r>
      <w:r>
        <w:rPr>
          <w:rFonts w:ascii="Times New Roman" w:hAnsi="Times New Roman"/>
          <w:sz w:val="21"/>
        </w:rPr>
        <w:t xml:space="preserve">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w:t>
      </w:r>
      <w:r>
        <w:rPr>
          <w:rFonts w:ascii="Times New Roman" w:hAnsi="Times New Roman"/>
          <w:sz w:val="21"/>
        </w:rPr>
        <w:t xml:space="preserve">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w:t>
      </w:r>
      <w:r>
        <w:rPr>
          <w:rFonts w:ascii="Times New Roman" w:hAnsi="Times New Roman"/>
          <w:sz w:val="21"/>
        </w:rPr>
        <w:t xml:space="preserve">ation against any entity by asserting a patent infringement claim (excluding declaratory judgment actions, counter-claims, and cross-claims) alleging that a Contributor Version directly or indirectly infringes any patent, then the rights granted to You by </w:t>
      </w:r>
      <w:r>
        <w:rPr>
          <w:rFonts w:ascii="Times New Roman" w:hAnsi="Times New Roman"/>
          <w:sz w:val="21"/>
        </w:rPr>
        <w:t>any and all Contributors for the Covered Software under Section 2.1 of this License shall terminate.</w:t>
      </w:r>
      <w:r>
        <w:rPr>
          <w:rFonts w:ascii="Times New Roman" w:hAnsi="Times New Roman"/>
          <w:sz w:val="21"/>
        </w:rPr>
        <w:br/>
      </w:r>
      <w:r>
        <w:rPr>
          <w:rFonts w:ascii="Times New Roman" w:hAnsi="Times New Roman"/>
          <w:sz w:val="21"/>
        </w:rPr>
        <w:br/>
        <w:t xml:space="preserve">5.3. In the event of termination under Sections 5.1 or 5.2 above, all end user license agreements (excluding </w:t>
      </w:r>
      <w:r>
        <w:rPr>
          <w:rFonts w:ascii="Times New Roman" w:hAnsi="Times New Roman"/>
          <w:sz w:val="21"/>
        </w:rPr>
        <w:lastRenderedPageBreak/>
        <w:t>distributors and resellers) which have been v</w:t>
      </w:r>
      <w:r>
        <w:rPr>
          <w:rFonts w:ascii="Times New Roman" w:hAnsi="Times New Roman"/>
          <w:sz w:val="21"/>
        </w:rPr>
        <w:t xml:space="preserve">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w:t>
      </w:r>
      <w:r>
        <w:rPr>
          <w:rFonts w:ascii="Times New Roman" w:hAnsi="Times New Roman"/>
          <w:sz w:val="21"/>
        </w:rPr>
        <w:t xml:space="preserve">plied, or statutory, including, without limitation, warranties that the Covered Software is free of defects, merchantable, fit for a particular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 essential part of this License. No use of any Covered Soft</w:t>
      </w:r>
      <w:r>
        <w:rPr>
          <w:rFonts w:ascii="Times New Roman" w:hAnsi="Times New Roman"/>
          <w:sz w:val="21"/>
        </w:rPr>
        <w: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 xml:space="preserve">Under no circumstances and under no legal theory, whether tort (including negligence), contract, or otherwise, shall any Contributor, or anyone who distributes </w:t>
      </w:r>
      <w:r>
        <w:rPr>
          <w:rFonts w:ascii="Times New Roman" w:hAnsi="Times New Roman"/>
          <w:sz w:val="21"/>
        </w:rPr>
        <w:t>Covered Software as permitted above, be liable to You for any direct, indirect, special, incidental, or consequential damages of any character including, without limitation, damages for lost profits, loss of goodwill, work stoppage, computer failure or mal</w:t>
      </w:r>
      <w:r>
        <w:rPr>
          <w:rFonts w:ascii="Times New Roman" w:hAnsi="Times New Roman"/>
          <w:sz w:val="21"/>
        </w:rPr>
        <w:t xml:space="preserve">function, or any and all other commercial damages or losses, even if such party shall have been informed of the possibility of such damages. This limitation of liability shall not apply to liability for death or personal injury resulting from such party’s </w:t>
      </w:r>
      <w:r>
        <w:rPr>
          <w:rFonts w:ascii="Times New Roman" w:hAnsi="Times New Roman"/>
          <w:sz w:val="21"/>
        </w:rPr>
        <w:t xml:space="preserve">negligence to the extent applicable law prohibits such limitation. Some jurisdictions do not allow the 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w:t>
      </w:r>
      <w:r>
        <w:rPr>
          <w:rFonts w:ascii="Times New Roman" w:hAnsi="Times New Roman"/>
          <w:sz w:val="21"/>
        </w:rPr>
        <w:t xml:space="preserve">ting to this License may be brought only in the courts of a jurisdiction where the defendant maintains its principal place of business and such litigation shall be governed by laws of that jurisdiction, without reference to its conflict-of-law provisions. </w:t>
      </w:r>
      <w:r>
        <w:rPr>
          <w:rFonts w:ascii="Times New Roman" w:hAnsi="Times New Roman"/>
          <w:sz w:val="21"/>
        </w:rPr>
        <w:t>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w:t>
      </w:r>
      <w:r>
        <w:rPr>
          <w:rFonts w:ascii="Times New Roman" w:hAnsi="Times New Roman"/>
          <w:sz w:val="21"/>
        </w:rPr>
        <w:t>able, such provision shall be reformed only to the extent necessary to make it enforceable. Any law or regulation which provides that the language of a contract shall be construed against the drafter shall not be used to construe this License against a Con</w:t>
      </w:r>
      <w:r>
        <w:rPr>
          <w:rFonts w:ascii="Times New Roman" w:hAnsi="Times New Roman"/>
          <w:sz w:val="21"/>
        </w:rPr>
        <w:t>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w:t>
      </w:r>
      <w:r>
        <w:rPr>
          <w:rFonts w:ascii="Times New Roman" w:hAnsi="Times New Roman"/>
          <w:sz w:val="21"/>
        </w:rPr>
        <w:t>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the License under which You originally </w:t>
      </w:r>
      <w:r>
        <w:rPr>
          <w:rFonts w:ascii="Times New Roman" w:hAnsi="Times New Roman"/>
          <w:sz w:val="21"/>
        </w:rPr>
        <w:lastRenderedPageBreak/>
        <w:t>received the Covered Software, or under the terms of any subsequent v</w:t>
      </w:r>
      <w:r>
        <w:rPr>
          <w:rFonts w:ascii="Times New Roman" w:hAnsi="Times New Roman"/>
          <w:sz w:val="21"/>
        </w:rPr>
        <w:t>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w:t>
      </w:r>
      <w:r>
        <w:rPr>
          <w:rFonts w:ascii="Times New Roman" w:hAnsi="Times New Roman"/>
          <w:sz w:val="21"/>
        </w:rPr>
        <w:t>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w:t>
      </w:r>
      <w:r>
        <w:rPr>
          <w:rFonts w:ascii="Times New Roman" w:hAnsi="Times New Roman"/>
          <w:sz w:val="21"/>
        </w:rPr>
        <w:t xml:space="preserv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w:t>
      </w:r>
      <w:r>
        <w:rPr>
          <w:rFonts w:ascii="Times New Roman" w:hAnsi="Times New Roman"/>
          <w:sz w:val="21"/>
        </w:rPr>
        <w:t xml:space="preserve">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w:t>
      </w:r>
      <w:r>
        <w:rPr>
          <w:rFonts w:ascii="Times New Roman" w:hAnsi="Times New Roman"/>
          <w:sz w:val="21"/>
        </w:rPr>
        <w:t>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w:t>
      </w:r>
      <w:r>
        <w:rPr>
          <w:rFonts w:ascii="Times New Roman" w:hAnsi="Times New Roman"/>
          <w:sz w:val="21"/>
        </w:rPr>
        <w:t>ource Code Form is “Incompatible With Secondary Licenses”, as defined by the Mozilla Public License, v. 2.0.</w:t>
      </w:r>
    </w:p>
    <w:sectPr w:rsidR="000131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A77" w:rsidRDefault="00823A77">
      <w:pPr>
        <w:spacing w:line="240" w:lineRule="auto"/>
      </w:pPr>
      <w:r>
        <w:separator/>
      </w:r>
    </w:p>
  </w:endnote>
  <w:endnote w:type="continuationSeparator" w:id="0">
    <w:p w:rsidR="00823A77" w:rsidRDefault="00823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3110">
      <w:tc>
        <w:tcPr>
          <w:tcW w:w="1542" w:type="pct"/>
        </w:tcPr>
        <w:p w:rsidR="00013110" w:rsidRDefault="00823A77">
          <w:pPr>
            <w:pStyle w:val="a6"/>
          </w:pPr>
          <w:r>
            <w:fldChar w:fldCharType="begin"/>
          </w:r>
          <w:r>
            <w:instrText xml:space="preserve"> DATE \@ "yyyy-MM-dd" </w:instrText>
          </w:r>
          <w:r>
            <w:fldChar w:fldCharType="separate"/>
          </w:r>
          <w:r w:rsidR="00695616">
            <w:rPr>
              <w:noProof/>
            </w:rPr>
            <w:t>2022-09-05</w:t>
          </w:r>
          <w:r>
            <w:fldChar w:fldCharType="end"/>
          </w:r>
        </w:p>
      </w:tc>
      <w:tc>
        <w:tcPr>
          <w:tcW w:w="1853" w:type="pct"/>
        </w:tcPr>
        <w:p w:rsidR="00013110" w:rsidRDefault="00823A77">
          <w:pPr>
            <w:pStyle w:val="a6"/>
            <w:ind w:firstLineChars="200" w:firstLine="360"/>
          </w:pPr>
          <w:r>
            <w:rPr>
              <w:rFonts w:hint="eastAsia"/>
            </w:rPr>
            <w:t xml:space="preserve">HUAWEI </w:t>
          </w:r>
          <w:r>
            <w:rPr>
              <w:rFonts w:hint="eastAsia"/>
            </w:rPr>
            <w:t>Confidential</w:t>
          </w:r>
        </w:p>
      </w:tc>
      <w:tc>
        <w:tcPr>
          <w:tcW w:w="1605" w:type="pct"/>
        </w:tcPr>
        <w:p w:rsidR="00013110" w:rsidRDefault="00823A77">
          <w:pPr>
            <w:pStyle w:val="a6"/>
            <w:ind w:firstLine="360"/>
            <w:jc w:val="right"/>
          </w:pPr>
          <w:r>
            <w:t>Page</w:t>
          </w:r>
          <w:r>
            <w:fldChar w:fldCharType="begin"/>
          </w:r>
          <w:r>
            <w:instrText>PAGE</w:instrText>
          </w:r>
          <w:r>
            <w:fldChar w:fldCharType="separate"/>
          </w:r>
          <w:r w:rsidR="00695616">
            <w:rPr>
              <w:noProof/>
            </w:rPr>
            <w:t>7</w:t>
          </w:r>
          <w:r>
            <w:fldChar w:fldCharType="end"/>
          </w:r>
          <w:r>
            <w:t>, Total</w:t>
          </w:r>
          <w:r>
            <w:fldChar w:fldCharType="begin"/>
          </w:r>
          <w:r>
            <w:instrText xml:space="preserve"> NUMPAGES  \* Arabic  \* MERGEFORMAT </w:instrText>
          </w:r>
          <w:r>
            <w:fldChar w:fldCharType="separate"/>
          </w:r>
          <w:r w:rsidR="00695616">
            <w:rPr>
              <w:noProof/>
            </w:rPr>
            <w:t>7</w:t>
          </w:r>
          <w:r>
            <w:fldChar w:fldCharType="end"/>
          </w:r>
        </w:p>
      </w:tc>
    </w:tr>
  </w:tbl>
  <w:p w:rsidR="00013110" w:rsidRDefault="000131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A77" w:rsidRDefault="00823A77">
      <w:r>
        <w:separator/>
      </w:r>
    </w:p>
  </w:footnote>
  <w:footnote w:type="continuationSeparator" w:id="0">
    <w:p w:rsidR="00823A77" w:rsidRDefault="00823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3110">
      <w:trPr>
        <w:cantSplit/>
        <w:trHeight w:hRule="exact" w:val="777"/>
      </w:trPr>
      <w:tc>
        <w:tcPr>
          <w:tcW w:w="492" w:type="pct"/>
          <w:tcBorders>
            <w:bottom w:val="single" w:sz="6" w:space="0" w:color="auto"/>
          </w:tcBorders>
        </w:tcPr>
        <w:p w:rsidR="00013110" w:rsidRDefault="00823A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3110" w:rsidRDefault="00013110">
          <w:pPr>
            <w:ind w:left="420"/>
          </w:pPr>
        </w:p>
      </w:tc>
      <w:tc>
        <w:tcPr>
          <w:tcW w:w="3283" w:type="pct"/>
          <w:tcBorders>
            <w:bottom w:val="single" w:sz="6" w:space="0" w:color="auto"/>
          </w:tcBorders>
          <w:vAlign w:val="bottom"/>
        </w:tcPr>
        <w:p w:rsidR="00013110" w:rsidRDefault="00823A77">
          <w:pPr>
            <w:pStyle w:val="a7"/>
            <w:ind w:firstLine="360"/>
          </w:pPr>
          <w:r>
            <w:t>OPEN SOURCE SOFTWARE NOTICE</w:t>
          </w:r>
        </w:p>
      </w:tc>
      <w:tc>
        <w:tcPr>
          <w:tcW w:w="1225" w:type="pct"/>
          <w:tcBorders>
            <w:bottom w:val="single" w:sz="6" w:space="0" w:color="auto"/>
          </w:tcBorders>
          <w:vAlign w:val="bottom"/>
        </w:tcPr>
        <w:p w:rsidR="00013110" w:rsidRDefault="00013110">
          <w:pPr>
            <w:pStyle w:val="a7"/>
            <w:ind w:firstLine="33"/>
          </w:pPr>
        </w:p>
      </w:tc>
    </w:tr>
  </w:tbl>
  <w:p w:rsidR="00013110" w:rsidRDefault="000131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3110"/>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616"/>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A77"/>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E6610C-0584-487F-8928-A3F0054C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2406</Words>
  <Characters>13716</Characters>
  <Application>Microsoft Office Word</Application>
  <DocSecurity>0</DocSecurity>
  <Lines>114</Lines>
  <Paragraphs>32</Paragraphs>
  <ScaleCrop>false</ScaleCrop>
  <Company>Huawei Technologies Co.,Ltd.</Company>
  <LinksUpToDate>false</LinksUpToDate>
  <CharactersWithSpaces>16090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(3)JR2yqC8ZopibEyusHmrsV3Crv7lWpu2HJxwdKeKUHeEmCeg1lNDY2AdT6YvMP2EXuF2W1Yae
6o3c3exFIO+V7YNgTK4aO2Q7CtbYwq1HDS0ZWIdIKVR3HKfNuVZN29rMJA+RFl2/Robgidkv
pH54LoSkkkmuqFh8uzYUGSBmXvhq3OEuindIy2JhHjqJYwVchOuBOhtjW+K2nV6la58DjacD
UP2SUSMKlnk/cq1HB5</vt:lpwstr>
  </property>
  <property fmtid="{D5CDD505-2E9C-101B-9397-08002B2CF9AE}" pid="11" name="_2015_ms_pID_7253431">
    <vt:lpwstr>Rf+ABJr4lu2OwoIh29/uJEgpDCdlxQFXuQ8APWE9jR3HfhgJWB//8C
9MuzUkNyU2lZ2TfJ3YGnHtU4qiungL2kRAPP27YU84lKj4I6GoWc2fdF816MHgkXn9vWUFmb
sfETDpibNAMcJcs5iuqGn/nPFSroF/QIEkzNB39Qs01XAl92d/3IODqISEIu9hZrtjoF/j2c
pGo7W7kCg0Rxy8eOZ1AXX9Qa18pQgXa6BVVq</vt:lpwstr>
  </property>
  <property fmtid="{D5CDD505-2E9C-101B-9397-08002B2CF9AE}" pid="12" name="_2015_ms_pID_7253432">
    <vt:lpwstr>PTPKM/AV7fjqRuM9pdpJ/jHXuOd7sMLM0iip
GV1rv+4jia7pyZR+gn08QRqhCqeJMe6FviI6QdQpU4j60bLPCwE=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1662374327</vt:lpwstr>
  </property>
</Properties>
</file>