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sqlite 3.37.2</w:t>
      </w:r>
    </w:p>
    <w:p>
      <w:pPr/>
      <w:r>
        <w:rPr>
          <w:rStyle w:val="13"/>
          <w:rFonts w:ascii="Arial" w:hAnsi="Arial"/>
          <w:b/>
        </w:rPr>
        <w:t xml:space="preserve">Copyright notice: </w:t>
      </w:r>
    </w:p>
    <w:p>
      <w:pPr/>
      <w:r>
        <w:rPr>
          <w:rStyle w:val="13"/>
          <w:rFonts w:ascii="宋体" w:hAnsi="宋体"/>
          <w:sz w:val="22"/>
        </w:rPr>
        <w:t>Copyright (c) 1991-2011 Unicode, Inc.</w:t>
        <w:br/>
        <w:t>Copyright (c) 2006 by Pat Thoyts</w:t>
        <w:br/>
        <w:t>Copyright (c) 2002 by David Gravereaux.</w:t>
        <w:br/>
        <w:t>Copyright 2008 D. Richard Hipp and Hipp, Wyrick &amp; Company, Inc.</w:t>
        <w:br/>
        <w:t>Copyright (C) 1996, 1997, 1998, 1999, 2000, 2001, 2003, 2004, 2005, 2006, 2007 2008 Free Software Foundation, Inc.</w:t>
        <w:b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